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方正小标宋简体" w:hAnsi="Calibri" w:eastAsia="方正小标宋简体"/>
          <w:color w:val="auto"/>
          <w:sz w:val="44"/>
          <w:szCs w:val="44"/>
        </w:rPr>
      </w:pPr>
      <w:r>
        <w:rPr>
          <w:rFonts w:hint="eastAsia" w:ascii="方正小标宋简体" w:hAnsi="Calibri" w:eastAsia="方正小标宋简体"/>
          <w:color w:val="auto"/>
          <w:sz w:val="44"/>
          <w:szCs w:val="44"/>
          <w:lang w:val="en-US" w:eastAsia="zh-CN"/>
        </w:rPr>
        <w:t>合肥市</w:t>
      </w:r>
      <w:r>
        <w:rPr>
          <w:rFonts w:hint="eastAsia" w:ascii="方正小标宋简体" w:hAnsi="Calibri" w:eastAsia="方正小标宋简体"/>
          <w:color w:val="auto"/>
          <w:sz w:val="44"/>
          <w:szCs w:val="44"/>
        </w:rPr>
        <w:t>城市轨道交通第四期建设规划环评</w:t>
      </w:r>
    </w:p>
    <w:p>
      <w:pPr>
        <w:spacing w:line="360" w:lineRule="auto"/>
        <w:jc w:val="center"/>
        <w:rPr>
          <w:rFonts w:hAnsi="宋体"/>
          <w:b/>
          <w:color w:val="auto"/>
          <w:kern w:val="0"/>
          <w:sz w:val="30"/>
          <w:szCs w:val="30"/>
          <w:u w:val="single"/>
        </w:rPr>
      </w:pPr>
      <w:r>
        <w:rPr>
          <w:rFonts w:hint="eastAsia" w:ascii="方正小标宋简体" w:hAnsi="Calibri" w:eastAsia="方正小标宋简体"/>
          <w:color w:val="auto"/>
          <w:sz w:val="44"/>
          <w:szCs w:val="44"/>
        </w:rPr>
        <w:t>公众意见征询</w:t>
      </w:r>
    </w:p>
    <w:p>
      <w:pPr>
        <w:ind w:firstLine="627" w:firstLineChars="196"/>
        <w:outlineLvl w:val="0"/>
        <w:rPr>
          <w:rFonts w:hint="eastAsia" w:ascii="黑体" w:hAnsi="宋体" w:eastAsia="黑体"/>
          <w:color w:val="auto"/>
          <w:sz w:val="32"/>
          <w:szCs w:val="32"/>
        </w:rPr>
      </w:pPr>
      <w:r>
        <w:rPr>
          <w:rFonts w:hint="eastAsia" w:ascii="黑体" w:hAnsi="宋体" w:eastAsia="黑体"/>
          <w:color w:val="auto"/>
          <w:sz w:val="32"/>
          <w:szCs w:val="32"/>
        </w:rPr>
        <w:t>一、建设规划概况</w:t>
      </w:r>
    </w:p>
    <w:p>
      <w:pPr>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lang/>
        </w:rPr>
        <w:t>本期建设规划共</w:t>
      </w:r>
      <w:r>
        <w:rPr>
          <w:rFonts w:hint="eastAsia" w:ascii="仿宋_GB2312" w:hAnsi="宋体" w:eastAsia="仿宋_GB2312"/>
          <w:color w:val="auto"/>
          <w:sz w:val="32"/>
          <w:szCs w:val="32"/>
          <w:lang w:val="en-US" w:eastAsia="zh-CN"/>
        </w:rPr>
        <w:t>6</w:t>
      </w:r>
      <w:r>
        <w:rPr>
          <w:rFonts w:hint="eastAsia" w:ascii="仿宋_GB2312" w:hAnsi="宋体" w:eastAsia="仿宋_GB2312"/>
          <w:color w:val="auto"/>
          <w:sz w:val="32"/>
          <w:szCs w:val="32"/>
          <w:lang/>
        </w:rPr>
        <w:t>个项目，包含</w:t>
      </w:r>
      <w:r>
        <w:rPr>
          <w:rFonts w:hint="eastAsia" w:ascii="仿宋_GB2312" w:hAnsi="宋体" w:eastAsia="仿宋_GB2312"/>
          <w:color w:val="auto"/>
          <w:sz w:val="32"/>
          <w:szCs w:val="32"/>
          <w:lang w:val="en-US" w:eastAsia="zh-CN"/>
        </w:rPr>
        <w:t>2</w:t>
      </w:r>
      <w:r>
        <w:rPr>
          <w:rFonts w:hint="eastAsia" w:ascii="仿宋_GB2312" w:hAnsi="宋体" w:eastAsia="仿宋_GB2312"/>
          <w:color w:val="auto"/>
          <w:sz w:val="32"/>
          <w:szCs w:val="32"/>
          <w:lang/>
        </w:rPr>
        <w:t>个新建项目</w:t>
      </w:r>
      <w:r>
        <w:rPr>
          <w:rFonts w:hint="eastAsia" w:ascii="仿宋_GB2312" w:hAnsi="宋体" w:eastAsia="仿宋_GB2312"/>
          <w:color w:val="auto"/>
          <w:sz w:val="32"/>
          <w:szCs w:val="32"/>
        </w:rPr>
        <w:t>和</w:t>
      </w:r>
      <w:r>
        <w:rPr>
          <w:rFonts w:hint="eastAsia" w:ascii="仿宋_GB2312" w:hAnsi="宋体" w:eastAsia="仿宋_GB2312"/>
          <w:color w:val="auto"/>
          <w:sz w:val="32"/>
          <w:szCs w:val="32"/>
          <w:lang w:val="en-US" w:eastAsia="zh-CN"/>
        </w:rPr>
        <w:t>4</w:t>
      </w:r>
      <w:r>
        <w:rPr>
          <w:rFonts w:hint="eastAsia" w:ascii="仿宋_GB2312" w:hAnsi="宋体" w:eastAsia="仿宋_GB2312"/>
          <w:color w:val="auto"/>
          <w:sz w:val="32"/>
          <w:szCs w:val="32"/>
          <w:lang/>
        </w:rPr>
        <w:t>个延伸项目，以及配套的车辆段、停车场、车站、主变电所等相关工程，</w:t>
      </w:r>
      <w:r>
        <w:rPr>
          <w:rFonts w:hint="eastAsia" w:ascii="仿宋_GB2312" w:hAnsi="宋体" w:eastAsia="仿宋_GB2312"/>
          <w:color w:val="auto"/>
          <w:sz w:val="32"/>
          <w:szCs w:val="32"/>
          <w:lang w:val="en-US" w:eastAsia="zh-CN"/>
        </w:rPr>
        <w:t>线路</w:t>
      </w:r>
      <w:r>
        <w:rPr>
          <w:rFonts w:hint="eastAsia" w:ascii="仿宋_GB2312" w:hAnsi="宋体" w:eastAsia="仿宋_GB2312"/>
          <w:color w:val="auto"/>
          <w:sz w:val="32"/>
          <w:szCs w:val="32"/>
          <w:lang/>
        </w:rPr>
        <w:t>总规模约</w:t>
      </w:r>
      <w:r>
        <w:rPr>
          <w:rFonts w:hint="eastAsia" w:ascii="仿宋_GB2312" w:hAnsi="宋体" w:eastAsia="仿宋_GB2312"/>
          <w:color w:val="auto"/>
          <w:sz w:val="32"/>
          <w:szCs w:val="32"/>
          <w:lang w:val="en-US" w:eastAsia="zh-CN"/>
        </w:rPr>
        <w:t>128</w:t>
      </w:r>
      <w:r>
        <w:rPr>
          <w:rFonts w:hint="eastAsia" w:ascii="仿宋_GB2312" w:hAnsi="宋体" w:eastAsia="仿宋_GB2312"/>
          <w:color w:val="auto"/>
          <w:sz w:val="32"/>
          <w:szCs w:val="32"/>
          <w:lang/>
        </w:rPr>
        <w:t>km，此规模为本次环评公众意见征询方案规模</w:t>
      </w:r>
      <w:r>
        <w:rPr>
          <w:rFonts w:hint="eastAsia" w:ascii="仿宋_GB2312" w:hAnsi="宋体" w:eastAsia="仿宋_GB2312"/>
          <w:color w:val="auto"/>
          <w:sz w:val="32"/>
          <w:szCs w:val="32"/>
        </w:rPr>
        <w:t>，</w:t>
      </w:r>
      <w:r>
        <w:rPr>
          <w:rFonts w:hint="eastAsia" w:ascii="仿宋_GB2312" w:hAnsi="宋体" w:eastAsia="仿宋_GB2312" w:cs="Times New Roman"/>
          <w:b/>
          <w:bCs/>
          <w:color w:val="auto"/>
          <w:sz w:val="32"/>
          <w:szCs w:val="32"/>
          <w:lang w:val="en-US" w:eastAsia="zh-CN"/>
        </w:rPr>
        <w:t>具体线路和规模</w:t>
      </w:r>
      <w:r>
        <w:rPr>
          <w:rFonts w:hint="eastAsia" w:ascii="仿宋_GB2312" w:hAnsi="宋体" w:eastAsia="仿宋_GB2312" w:cs="Times New Roman"/>
          <w:b/>
          <w:bCs/>
          <w:color w:val="auto"/>
          <w:sz w:val="32"/>
          <w:szCs w:val="32"/>
        </w:rPr>
        <w:t>最终以</w:t>
      </w:r>
      <w:r>
        <w:rPr>
          <w:rFonts w:hint="eastAsia" w:ascii="仿宋_GB2312" w:hAnsi="宋体" w:eastAsia="仿宋_GB2312"/>
          <w:b/>
          <w:bCs/>
          <w:color w:val="auto"/>
          <w:sz w:val="32"/>
          <w:szCs w:val="32"/>
        </w:rPr>
        <w:t>国家</w:t>
      </w:r>
      <w:r>
        <w:rPr>
          <w:rFonts w:hint="eastAsia" w:ascii="仿宋_GB2312" w:hAnsi="宋体" w:eastAsia="仿宋_GB2312"/>
          <w:b/>
          <w:bCs/>
          <w:color w:val="auto"/>
          <w:sz w:val="32"/>
          <w:szCs w:val="32"/>
          <w:lang w:val="en-US" w:eastAsia="zh-CN"/>
        </w:rPr>
        <w:t>主管部门</w:t>
      </w:r>
      <w:r>
        <w:rPr>
          <w:rFonts w:hint="eastAsia" w:ascii="仿宋_GB2312" w:hAnsi="宋体" w:eastAsia="仿宋_GB2312"/>
          <w:b/>
          <w:bCs/>
          <w:color w:val="auto"/>
          <w:sz w:val="32"/>
          <w:szCs w:val="32"/>
        </w:rPr>
        <w:t>批复为准</w:t>
      </w:r>
      <w:r>
        <w:rPr>
          <w:rFonts w:hint="eastAsia" w:ascii="仿宋_GB2312" w:hAnsi="宋体" w:eastAsia="仿宋_GB2312"/>
          <w:color w:val="auto"/>
          <w:sz w:val="32"/>
          <w:szCs w:val="32"/>
          <w:lang/>
        </w:rPr>
        <w:t>。</w:t>
      </w:r>
      <w:r>
        <w:rPr>
          <w:rFonts w:hint="eastAsia" w:ascii="仿宋_GB2312" w:hAnsi="宋体" w:eastAsia="仿宋_GB2312"/>
          <w:color w:val="auto"/>
          <w:sz w:val="32"/>
          <w:szCs w:val="32"/>
        </w:rPr>
        <w:t>规划</w:t>
      </w:r>
      <w:r>
        <w:rPr>
          <w:rFonts w:hint="eastAsia" w:ascii="仿宋_GB2312" w:hAnsi="宋体" w:eastAsia="仿宋_GB2312"/>
          <w:color w:val="auto"/>
          <w:sz w:val="32"/>
          <w:szCs w:val="32"/>
          <w:lang w:val="en-US" w:eastAsia="zh-CN"/>
        </w:rPr>
        <w:t>项目</w:t>
      </w:r>
      <w:r>
        <w:rPr>
          <w:rFonts w:hint="eastAsia" w:ascii="仿宋_GB2312" w:hAnsi="宋体" w:eastAsia="仿宋_GB2312"/>
          <w:color w:val="auto"/>
          <w:sz w:val="32"/>
          <w:szCs w:val="32"/>
        </w:rPr>
        <w:t>情况如下：</w:t>
      </w:r>
    </w:p>
    <w:p>
      <w:pPr>
        <w:ind w:firstLine="640" w:firstLineChars="200"/>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rPr>
        <w:t>（</w:t>
      </w:r>
      <w:r>
        <w:rPr>
          <w:rFonts w:ascii="仿宋_GB2312" w:hAnsi="宋体" w:eastAsia="仿宋_GB2312"/>
          <w:color w:val="auto"/>
          <w:sz w:val="32"/>
          <w:szCs w:val="32"/>
        </w:rPr>
        <w:t>1</w:t>
      </w:r>
      <w:r>
        <w:rPr>
          <w:rFonts w:hint="eastAsia" w:ascii="仿宋_GB2312" w:hAnsi="宋体" w:eastAsia="仿宋_GB2312"/>
          <w:color w:val="auto"/>
          <w:sz w:val="32"/>
          <w:szCs w:val="32"/>
        </w:rPr>
        <w:t>）</w:t>
      </w:r>
      <w:r>
        <w:rPr>
          <w:rFonts w:hint="eastAsia" w:ascii="仿宋_GB2312" w:hAnsi="宋体" w:eastAsia="仿宋_GB2312"/>
          <w:color w:val="auto"/>
          <w:sz w:val="32"/>
          <w:szCs w:val="32"/>
          <w:lang w:val="en-US" w:eastAsia="zh-CN"/>
        </w:rPr>
        <w:t>2号线西延</w:t>
      </w:r>
    </w:p>
    <w:p>
      <w:pPr>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线路起于</w:t>
      </w:r>
      <w:r>
        <w:rPr>
          <w:rFonts w:hint="eastAsia" w:ascii="仿宋_GB2312" w:hAnsi="宋体" w:eastAsia="仿宋_GB2312"/>
          <w:color w:val="auto"/>
          <w:sz w:val="32"/>
          <w:szCs w:val="32"/>
          <w:lang w:val="en-US" w:eastAsia="zh-CN"/>
        </w:rPr>
        <w:t>已运营</w:t>
      </w:r>
      <w:r>
        <w:rPr>
          <w:rFonts w:hint="eastAsia" w:ascii="仿宋_GB2312" w:hAnsi="宋体" w:eastAsia="仿宋_GB2312"/>
          <w:color w:val="auto"/>
          <w:sz w:val="32"/>
          <w:szCs w:val="32"/>
        </w:rPr>
        <w:t>2号线南</w:t>
      </w:r>
      <w:r>
        <w:rPr>
          <w:rFonts w:hint="eastAsia" w:ascii="仿宋_GB2312" w:hAnsi="宋体" w:eastAsia="仿宋_GB2312"/>
          <w:color w:val="auto"/>
          <w:sz w:val="32"/>
          <w:szCs w:val="32"/>
          <w:highlight w:val="none"/>
        </w:rPr>
        <w:t>岗站，</w:t>
      </w:r>
      <w:r>
        <w:rPr>
          <w:rFonts w:hint="eastAsia" w:ascii="仿宋_GB2312" w:hAnsi="宋体" w:eastAsia="仿宋_GB2312"/>
          <w:color w:val="auto"/>
          <w:sz w:val="32"/>
          <w:szCs w:val="32"/>
          <w:highlight w:val="none"/>
          <w:lang w:val="en-US" w:eastAsia="zh-CN"/>
        </w:rPr>
        <w:t>途经长江西路，</w:t>
      </w:r>
      <w:r>
        <w:rPr>
          <w:rFonts w:hint="eastAsia" w:ascii="仿宋_GB2312" w:hAnsi="宋体" w:eastAsia="仿宋_GB2312"/>
          <w:color w:val="auto"/>
          <w:sz w:val="32"/>
          <w:szCs w:val="32"/>
          <w:highlight w:val="none"/>
        </w:rPr>
        <w:t>止于</w:t>
      </w:r>
      <w:r>
        <w:rPr>
          <w:rFonts w:hint="eastAsia" w:ascii="仿宋_GB2312" w:hAnsi="宋体" w:eastAsia="仿宋_GB2312"/>
          <w:color w:val="auto"/>
          <w:sz w:val="32"/>
          <w:szCs w:val="32"/>
          <w:highlight w:val="none"/>
          <w:lang w:val="en-US" w:eastAsia="zh-CN"/>
        </w:rPr>
        <w:t>长江西路与佛岭寨路交叉口</w:t>
      </w:r>
      <w:r>
        <w:rPr>
          <w:rFonts w:hint="eastAsia" w:ascii="仿宋_GB2312" w:hAnsi="宋体" w:eastAsia="仿宋_GB2312"/>
          <w:color w:val="auto"/>
          <w:sz w:val="32"/>
          <w:szCs w:val="32"/>
          <w:highlight w:val="none"/>
        </w:rPr>
        <w:t>，</w:t>
      </w:r>
      <w:r>
        <w:rPr>
          <w:rFonts w:hint="eastAsia" w:ascii="仿宋_GB2312" w:hAnsi="宋体" w:eastAsia="仿宋_GB2312"/>
          <w:color w:val="auto"/>
          <w:sz w:val="32"/>
          <w:szCs w:val="32"/>
          <w:highlight w:val="none"/>
          <w:lang w:val="en-US" w:eastAsia="zh-CN"/>
        </w:rPr>
        <w:t>为</w:t>
      </w:r>
      <w:r>
        <w:rPr>
          <w:rFonts w:hint="eastAsia" w:ascii="仿宋_GB2312" w:hAnsi="宋体" w:eastAsia="仿宋_GB2312"/>
          <w:color w:val="auto"/>
          <w:sz w:val="32"/>
          <w:szCs w:val="32"/>
          <w:highlight w:val="none"/>
        </w:rPr>
        <w:t>线网骨干线路延伸，实现运</w:t>
      </w:r>
      <w:r>
        <w:rPr>
          <w:rFonts w:hint="eastAsia" w:ascii="仿宋_GB2312" w:hAnsi="宋体" w:eastAsia="仿宋_GB2312"/>
          <w:color w:val="auto"/>
          <w:sz w:val="32"/>
          <w:szCs w:val="32"/>
        </w:rPr>
        <w:t>河新城与城市主中心快速通达，提</w:t>
      </w:r>
      <w:r>
        <w:rPr>
          <w:rFonts w:hint="eastAsia" w:ascii="仿宋_GB2312" w:hAnsi="宋体" w:eastAsia="仿宋_GB2312"/>
          <w:color w:val="auto"/>
          <w:sz w:val="32"/>
          <w:szCs w:val="32"/>
          <w:lang w:val="en-US" w:eastAsia="zh-CN"/>
        </w:rPr>
        <w:t>高</w:t>
      </w:r>
      <w:r>
        <w:rPr>
          <w:rFonts w:hint="eastAsia" w:ascii="仿宋_GB2312" w:hAnsi="宋体" w:eastAsia="仿宋_GB2312"/>
          <w:color w:val="auto"/>
          <w:sz w:val="32"/>
          <w:szCs w:val="32"/>
        </w:rPr>
        <w:t>轨道交通对西部组团</w:t>
      </w:r>
      <w:r>
        <w:rPr>
          <w:rFonts w:hint="eastAsia" w:ascii="仿宋_GB2312" w:hAnsi="宋体" w:eastAsia="仿宋_GB2312"/>
          <w:color w:val="auto"/>
          <w:sz w:val="32"/>
          <w:szCs w:val="32"/>
          <w:lang w:val="en-US" w:eastAsia="zh-CN"/>
        </w:rPr>
        <w:t>覆盖水平</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lang w:val="en-US" w:eastAsia="zh-CN"/>
        </w:rPr>
        <w:t>线路</w:t>
      </w:r>
      <w:r>
        <w:rPr>
          <w:rFonts w:hint="eastAsia" w:ascii="仿宋_GB2312" w:hAnsi="宋体" w:eastAsia="仿宋_GB2312"/>
          <w:color w:val="auto"/>
          <w:sz w:val="32"/>
          <w:szCs w:val="32"/>
        </w:rPr>
        <w:t>长</w:t>
      </w:r>
      <w:r>
        <w:rPr>
          <w:rFonts w:hint="eastAsia" w:ascii="仿宋_GB2312" w:hAnsi="宋体" w:eastAsia="仿宋_GB2312"/>
          <w:color w:val="auto"/>
          <w:sz w:val="32"/>
          <w:szCs w:val="32"/>
          <w:lang w:val="en-US" w:eastAsia="zh-CN"/>
        </w:rPr>
        <w:t>约</w:t>
      </w:r>
      <w:r>
        <w:rPr>
          <w:rFonts w:hint="eastAsia" w:ascii="仿宋_GB2312" w:hAnsi="宋体" w:eastAsia="仿宋_GB2312"/>
          <w:color w:val="auto"/>
          <w:sz w:val="32"/>
          <w:szCs w:val="32"/>
        </w:rPr>
        <w:t>12.7km</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lang w:val="en-US" w:eastAsia="zh-CN"/>
        </w:rPr>
        <w:t>均为地下线</w:t>
      </w:r>
      <w:r>
        <w:rPr>
          <w:rFonts w:hint="eastAsia" w:ascii="仿宋_GB2312" w:hAnsi="宋体" w:eastAsia="仿宋_GB2312"/>
          <w:color w:val="auto"/>
          <w:sz w:val="32"/>
          <w:szCs w:val="32"/>
        </w:rPr>
        <w:t>，车站8座，设</w:t>
      </w:r>
      <w:r>
        <w:rPr>
          <w:rFonts w:hint="eastAsia" w:ascii="仿宋_GB2312" w:hAnsi="宋体" w:eastAsia="仿宋_GB2312"/>
          <w:color w:val="auto"/>
          <w:sz w:val="32"/>
          <w:szCs w:val="32"/>
          <w:lang w:val="en-US" w:eastAsia="zh-CN"/>
        </w:rPr>
        <w:t>1座</w:t>
      </w:r>
      <w:r>
        <w:rPr>
          <w:rFonts w:hint="eastAsia" w:ascii="仿宋_GB2312" w:hAnsi="宋体" w:eastAsia="仿宋_GB2312"/>
          <w:color w:val="auto"/>
          <w:sz w:val="32"/>
          <w:szCs w:val="32"/>
        </w:rPr>
        <w:t>停车场。</w:t>
      </w:r>
    </w:p>
    <w:p>
      <w:pPr>
        <w:ind w:firstLine="640" w:firstLineChars="200"/>
        <w:rPr>
          <w:rFonts w:hint="default" w:ascii="仿宋_GB2312" w:hAnsi="宋体" w:eastAsia="仿宋_GB2312"/>
          <w:color w:val="auto"/>
          <w:sz w:val="32"/>
          <w:szCs w:val="32"/>
          <w:lang w:val="en-US" w:eastAsia="zh-CN"/>
        </w:rPr>
      </w:pPr>
      <w:r>
        <w:rPr>
          <w:rFonts w:hint="eastAsia" w:ascii="仿宋_GB2312" w:hAnsi="宋体" w:eastAsia="仿宋_GB2312"/>
          <w:color w:val="auto"/>
          <w:sz w:val="32"/>
          <w:szCs w:val="32"/>
        </w:rPr>
        <w:t>（</w:t>
      </w:r>
      <w:r>
        <w:rPr>
          <w:rFonts w:ascii="仿宋_GB2312" w:hAnsi="宋体" w:eastAsia="仿宋_GB2312"/>
          <w:color w:val="auto"/>
          <w:sz w:val="32"/>
          <w:szCs w:val="32"/>
        </w:rPr>
        <w:t>2</w:t>
      </w:r>
      <w:r>
        <w:rPr>
          <w:rFonts w:hint="eastAsia" w:ascii="仿宋_GB2312" w:hAnsi="宋体" w:eastAsia="仿宋_GB2312"/>
          <w:color w:val="auto"/>
          <w:sz w:val="32"/>
          <w:szCs w:val="32"/>
        </w:rPr>
        <w:t>）</w:t>
      </w:r>
      <w:bookmarkStart w:id="6" w:name="_GoBack"/>
      <w:bookmarkEnd w:id="6"/>
      <w:r>
        <w:rPr>
          <w:rFonts w:hint="eastAsia" w:ascii="仿宋_GB2312" w:hAnsi="宋体" w:eastAsia="仿宋_GB2312"/>
          <w:color w:val="auto"/>
          <w:sz w:val="32"/>
          <w:szCs w:val="32"/>
          <w:lang w:val="en-US" w:eastAsia="zh-CN"/>
        </w:rPr>
        <w:t>6号线西延</w:t>
      </w:r>
    </w:p>
    <w:p>
      <w:pPr>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lang w:val="en-US" w:eastAsia="zh-CN"/>
        </w:rPr>
        <w:t>线路</w:t>
      </w:r>
      <w:r>
        <w:rPr>
          <w:rFonts w:hint="eastAsia" w:ascii="仿宋_GB2312" w:hAnsi="宋体" w:eastAsia="仿宋_GB2312"/>
          <w:color w:val="auto"/>
          <w:sz w:val="32"/>
          <w:szCs w:val="32"/>
        </w:rPr>
        <w:t>起于</w:t>
      </w:r>
      <w:r>
        <w:rPr>
          <w:rFonts w:hint="eastAsia" w:ascii="仿宋_GB2312" w:hAnsi="宋体" w:eastAsia="仿宋_GB2312"/>
          <w:color w:val="auto"/>
          <w:sz w:val="32"/>
          <w:szCs w:val="32"/>
          <w:lang w:val="en-US" w:eastAsia="zh-CN"/>
        </w:rPr>
        <w:t>在建6号线一期</w:t>
      </w:r>
      <w:r>
        <w:rPr>
          <w:rFonts w:hint="eastAsia" w:ascii="仿宋_GB2312" w:hAnsi="宋体" w:eastAsia="仿宋_GB2312"/>
          <w:color w:val="auto"/>
          <w:sz w:val="32"/>
          <w:szCs w:val="32"/>
        </w:rPr>
        <w:t>鸡鸣山路站</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lang w:val="en-US" w:eastAsia="zh-CN"/>
        </w:rPr>
        <w:t>途经望江西路、西城大道、大别山路，</w:t>
      </w:r>
      <w:r>
        <w:rPr>
          <w:rFonts w:hint="eastAsia" w:ascii="仿宋_GB2312" w:hAnsi="宋体" w:eastAsia="仿宋_GB2312"/>
          <w:color w:val="auto"/>
          <w:sz w:val="32"/>
          <w:szCs w:val="32"/>
        </w:rPr>
        <w:t>止于白莲岩路</w:t>
      </w:r>
      <w:r>
        <w:rPr>
          <w:rFonts w:hint="eastAsia" w:ascii="仿宋_GB2312" w:hAnsi="宋体" w:eastAsia="仿宋_GB2312"/>
          <w:color w:val="auto"/>
          <w:sz w:val="32"/>
          <w:szCs w:val="32"/>
          <w:lang w:val="en-US" w:eastAsia="zh-CN"/>
        </w:rPr>
        <w:t>与佛岭寨路交叉口</w:t>
      </w:r>
      <w:r>
        <w:rPr>
          <w:rFonts w:hint="eastAsia" w:ascii="仿宋_GB2312" w:hAnsi="宋体" w:eastAsia="仿宋_GB2312"/>
          <w:color w:val="auto"/>
          <w:sz w:val="32"/>
          <w:szCs w:val="32"/>
        </w:rPr>
        <w:t>，实现运河中心与城市主中心快速通达，加强中心城区对运河新城辐射带动作用。</w:t>
      </w:r>
      <w:r>
        <w:rPr>
          <w:rFonts w:hint="eastAsia" w:ascii="仿宋_GB2312" w:hAnsi="宋体" w:eastAsia="仿宋_GB2312"/>
          <w:color w:val="auto"/>
          <w:sz w:val="32"/>
          <w:szCs w:val="32"/>
          <w:lang w:val="en-US" w:eastAsia="zh-CN"/>
        </w:rPr>
        <w:t>线路</w:t>
      </w:r>
      <w:r>
        <w:rPr>
          <w:rFonts w:hint="eastAsia" w:ascii="仿宋_GB2312" w:hAnsi="宋体" w:eastAsia="仿宋_GB2312"/>
          <w:color w:val="auto"/>
          <w:sz w:val="32"/>
          <w:szCs w:val="32"/>
        </w:rPr>
        <w:t>长</w:t>
      </w:r>
      <w:r>
        <w:rPr>
          <w:rFonts w:hint="eastAsia" w:ascii="仿宋_GB2312" w:hAnsi="宋体" w:eastAsia="仿宋_GB2312"/>
          <w:color w:val="auto"/>
          <w:sz w:val="32"/>
          <w:szCs w:val="32"/>
          <w:lang w:val="en-US" w:eastAsia="zh-CN"/>
        </w:rPr>
        <w:t>约</w:t>
      </w:r>
      <w:r>
        <w:rPr>
          <w:rFonts w:hint="eastAsia" w:ascii="仿宋_GB2312" w:hAnsi="宋体" w:eastAsia="仿宋_GB2312"/>
          <w:color w:val="auto"/>
          <w:sz w:val="32"/>
          <w:szCs w:val="32"/>
        </w:rPr>
        <w:t>12.4km，</w:t>
      </w:r>
      <w:r>
        <w:rPr>
          <w:rFonts w:hint="eastAsia" w:ascii="仿宋_GB2312" w:hAnsi="宋体" w:eastAsia="仿宋_GB2312"/>
          <w:color w:val="auto"/>
          <w:sz w:val="32"/>
          <w:szCs w:val="32"/>
          <w:lang w:val="en-US" w:eastAsia="zh-CN"/>
        </w:rPr>
        <w:t>均为地下线，</w:t>
      </w:r>
      <w:r>
        <w:rPr>
          <w:rFonts w:hint="eastAsia" w:ascii="仿宋_GB2312" w:hAnsi="宋体" w:eastAsia="仿宋_GB2312"/>
          <w:color w:val="auto"/>
          <w:sz w:val="32"/>
          <w:szCs w:val="32"/>
        </w:rPr>
        <w:t>车站7座，设</w:t>
      </w:r>
      <w:r>
        <w:rPr>
          <w:rFonts w:hint="eastAsia" w:ascii="仿宋_GB2312" w:hAnsi="宋体" w:eastAsia="仿宋_GB2312"/>
          <w:color w:val="auto"/>
          <w:sz w:val="32"/>
          <w:szCs w:val="32"/>
          <w:lang w:val="en-US" w:eastAsia="zh-CN"/>
        </w:rPr>
        <w:t>1座</w:t>
      </w:r>
      <w:r>
        <w:rPr>
          <w:rFonts w:hint="eastAsia" w:ascii="仿宋_GB2312" w:hAnsi="宋体" w:eastAsia="仿宋_GB2312"/>
          <w:color w:val="auto"/>
          <w:sz w:val="32"/>
          <w:szCs w:val="32"/>
        </w:rPr>
        <w:t>停车场。</w:t>
      </w:r>
    </w:p>
    <w:p>
      <w:pPr>
        <w:ind w:firstLine="640" w:firstLineChars="200"/>
        <w:rPr>
          <w:rFonts w:hint="default" w:ascii="仿宋_GB2312" w:hAnsi="宋体" w:eastAsia="仿宋_GB2312"/>
          <w:color w:val="auto"/>
          <w:sz w:val="32"/>
          <w:szCs w:val="32"/>
          <w:lang w:val="en-US" w:eastAsia="zh-CN"/>
        </w:rPr>
      </w:pPr>
      <w:r>
        <w:rPr>
          <w:rFonts w:hint="eastAsia" w:ascii="仿宋_GB2312" w:hAnsi="宋体" w:eastAsia="仿宋_GB2312"/>
          <w:color w:val="auto"/>
          <w:sz w:val="32"/>
          <w:szCs w:val="32"/>
        </w:rPr>
        <w:t>（</w:t>
      </w:r>
      <w:r>
        <w:rPr>
          <w:rFonts w:ascii="仿宋_GB2312" w:hAnsi="宋体" w:eastAsia="仿宋_GB2312"/>
          <w:color w:val="auto"/>
          <w:sz w:val="32"/>
          <w:szCs w:val="32"/>
        </w:rPr>
        <w:t>3</w:t>
      </w:r>
      <w:r>
        <w:rPr>
          <w:rFonts w:hint="eastAsia" w:ascii="仿宋_GB2312" w:hAnsi="宋体" w:eastAsia="仿宋_GB2312"/>
          <w:color w:val="auto"/>
          <w:sz w:val="32"/>
          <w:szCs w:val="32"/>
        </w:rPr>
        <w:t>）</w:t>
      </w:r>
      <w:r>
        <w:rPr>
          <w:rFonts w:hint="eastAsia" w:ascii="仿宋_GB2312" w:hAnsi="宋体" w:eastAsia="仿宋_GB2312"/>
          <w:color w:val="auto"/>
          <w:sz w:val="32"/>
          <w:szCs w:val="32"/>
          <w:lang w:val="en-US" w:eastAsia="zh-CN"/>
        </w:rPr>
        <w:t>7号线二期</w:t>
      </w:r>
    </w:p>
    <w:p>
      <w:pPr>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rPr>
        <w:t>线路起于</w:t>
      </w:r>
      <w:r>
        <w:rPr>
          <w:rFonts w:hint="eastAsia" w:ascii="仿宋_GB2312" w:hAnsi="宋体" w:eastAsia="仿宋_GB2312"/>
          <w:color w:val="auto"/>
          <w:sz w:val="32"/>
          <w:szCs w:val="32"/>
          <w:lang w:val="en-US" w:eastAsia="zh-CN"/>
        </w:rPr>
        <w:t>在建</w:t>
      </w:r>
      <w:r>
        <w:rPr>
          <w:rFonts w:hint="eastAsia" w:ascii="仿宋_GB2312" w:hAnsi="宋体" w:eastAsia="仿宋_GB2312"/>
          <w:color w:val="auto"/>
          <w:sz w:val="32"/>
          <w:szCs w:val="32"/>
        </w:rPr>
        <w:t>7号线一期松林路站</w:t>
      </w:r>
      <w:r>
        <w:rPr>
          <w:rFonts w:hint="eastAsia" w:ascii="仿宋_GB2312" w:hAnsi="宋体" w:eastAsia="仿宋_GB2312"/>
          <w:color w:val="auto"/>
          <w:sz w:val="32"/>
          <w:szCs w:val="32"/>
          <w:lang w:eastAsia="zh-CN"/>
        </w:rPr>
        <w:t>，途经繁华大道、明珠大道、长宁大道，</w:t>
      </w:r>
      <w:r>
        <w:rPr>
          <w:rFonts w:hint="eastAsia" w:ascii="仿宋_GB2312" w:hAnsi="宋体" w:eastAsia="仿宋_GB2312"/>
          <w:color w:val="auto"/>
          <w:sz w:val="32"/>
          <w:szCs w:val="32"/>
        </w:rPr>
        <w:t>止于白莲岩路站</w:t>
      </w:r>
      <w:r>
        <w:rPr>
          <w:rFonts w:hint="eastAsia" w:ascii="仿宋_GB2312" w:hAnsi="宋体" w:eastAsia="仿宋_GB2312"/>
          <w:color w:val="auto"/>
          <w:sz w:val="32"/>
          <w:szCs w:val="32"/>
          <w:lang w:val="en-US" w:eastAsia="zh-CN"/>
        </w:rPr>
        <w:t>与长宁大道交叉口</w:t>
      </w:r>
      <w:r>
        <w:rPr>
          <w:rFonts w:hint="eastAsia" w:ascii="仿宋_GB2312" w:hAnsi="宋体" w:eastAsia="仿宋_GB2312"/>
          <w:color w:val="auto"/>
          <w:sz w:val="32"/>
          <w:szCs w:val="32"/>
        </w:rPr>
        <w:t>，位于高新区内，支撑科创走廊、科大硅谷规划实施，提高王咀湖中心区域线网覆盖强度，增强线路换乘便捷性。</w:t>
      </w:r>
      <w:r>
        <w:rPr>
          <w:rFonts w:hint="eastAsia" w:ascii="仿宋_GB2312" w:hAnsi="宋体" w:eastAsia="仿宋_GB2312"/>
          <w:color w:val="auto"/>
          <w:sz w:val="32"/>
          <w:szCs w:val="32"/>
          <w:lang w:val="en-US" w:eastAsia="zh-CN"/>
        </w:rPr>
        <w:t>线路</w:t>
      </w:r>
      <w:r>
        <w:rPr>
          <w:rFonts w:hint="eastAsia" w:ascii="仿宋_GB2312" w:hAnsi="宋体" w:eastAsia="仿宋_GB2312"/>
          <w:color w:val="auto"/>
          <w:sz w:val="32"/>
          <w:szCs w:val="32"/>
        </w:rPr>
        <w:t>长</w:t>
      </w:r>
      <w:r>
        <w:rPr>
          <w:rFonts w:hint="eastAsia" w:ascii="仿宋_GB2312" w:hAnsi="宋体" w:eastAsia="仿宋_GB2312"/>
          <w:color w:val="auto"/>
          <w:sz w:val="32"/>
          <w:szCs w:val="32"/>
          <w:lang w:val="en-US" w:eastAsia="zh-CN"/>
        </w:rPr>
        <w:t>约</w:t>
      </w:r>
      <w:r>
        <w:rPr>
          <w:rFonts w:hint="eastAsia" w:ascii="仿宋_GB2312" w:hAnsi="宋体" w:eastAsia="仿宋_GB2312"/>
          <w:color w:val="auto"/>
          <w:sz w:val="32"/>
          <w:szCs w:val="32"/>
        </w:rPr>
        <w:t>17.4km，</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lang w:val="en-US" w:eastAsia="zh-CN"/>
        </w:rPr>
        <w:t>均为地下线，</w:t>
      </w:r>
      <w:r>
        <w:rPr>
          <w:rFonts w:hint="eastAsia" w:ascii="仿宋_GB2312" w:hAnsi="宋体" w:eastAsia="仿宋_GB2312"/>
          <w:color w:val="auto"/>
          <w:sz w:val="32"/>
          <w:szCs w:val="32"/>
        </w:rPr>
        <w:t>车站12座，设</w:t>
      </w:r>
      <w:r>
        <w:rPr>
          <w:rFonts w:hint="eastAsia" w:ascii="仿宋_GB2312" w:hAnsi="宋体" w:eastAsia="仿宋_GB2312"/>
          <w:color w:val="auto"/>
          <w:sz w:val="32"/>
          <w:szCs w:val="32"/>
          <w:lang w:val="en-US" w:eastAsia="zh-CN"/>
        </w:rPr>
        <w:t>1座</w:t>
      </w:r>
      <w:r>
        <w:rPr>
          <w:rFonts w:hint="eastAsia" w:ascii="仿宋_GB2312" w:hAnsi="宋体" w:eastAsia="仿宋_GB2312"/>
          <w:color w:val="auto"/>
          <w:sz w:val="32"/>
          <w:szCs w:val="32"/>
        </w:rPr>
        <w:t>停车场。</w:t>
      </w:r>
    </w:p>
    <w:p>
      <w:pPr>
        <w:ind w:firstLine="640" w:firstLineChars="200"/>
        <w:rPr>
          <w:rFonts w:hint="default" w:ascii="仿宋_GB2312" w:hAnsi="宋体" w:eastAsia="仿宋_GB2312"/>
          <w:color w:val="auto"/>
          <w:sz w:val="32"/>
          <w:szCs w:val="32"/>
          <w:lang w:val="en-US" w:eastAsia="zh-CN"/>
        </w:rPr>
      </w:pPr>
      <w:r>
        <w:rPr>
          <w:rFonts w:hint="eastAsia" w:ascii="仿宋_GB2312" w:hAnsi="宋体" w:eastAsia="仿宋_GB2312"/>
          <w:color w:val="auto"/>
          <w:sz w:val="32"/>
          <w:szCs w:val="32"/>
        </w:rPr>
        <w:t>（</w:t>
      </w:r>
      <w:r>
        <w:rPr>
          <w:rFonts w:ascii="仿宋_GB2312" w:hAnsi="宋体" w:eastAsia="仿宋_GB2312"/>
          <w:color w:val="auto"/>
          <w:sz w:val="32"/>
          <w:szCs w:val="32"/>
        </w:rPr>
        <w:t>4</w:t>
      </w:r>
      <w:r>
        <w:rPr>
          <w:rFonts w:hint="eastAsia" w:ascii="仿宋_GB2312" w:hAnsi="宋体" w:eastAsia="仿宋_GB2312"/>
          <w:color w:val="auto"/>
          <w:sz w:val="32"/>
          <w:szCs w:val="32"/>
        </w:rPr>
        <w:t>）</w:t>
      </w:r>
      <w:r>
        <w:rPr>
          <w:rFonts w:hint="eastAsia" w:ascii="仿宋_GB2312" w:hAnsi="宋体" w:eastAsia="仿宋_GB2312"/>
          <w:color w:val="auto"/>
          <w:sz w:val="32"/>
          <w:szCs w:val="32"/>
          <w:lang w:val="en-US" w:eastAsia="zh-CN"/>
        </w:rPr>
        <w:t>8号线二期</w:t>
      </w:r>
    </w:p>
    <w:p>
      <w:pPr>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线路起于</w:t>
      </w:r>
      <w:r>
        <w:rPr>
          <w:rFonts w:hint="eastAsia" w:ascii="仿宋_GB2312" w:hAnsi="宋体" w:eastAsia="仿宋_GB2312"/>
          <w:color w:val="auto"/>
          <w:sz w:val="32"/>
          <w:szCs w:val="32"/>
          <w:lang w:val="en-US" w:eastAsia="zh-CN"/>
        </w:rPr>
        <w:t>在建</w:t>
      </w:r>
      <w:r>
        <w:rPr>
          <w:rFonts w:hint="eastAsia" w:ascii="仿宋_GB2312" w:hAnsi="宋体" w:eastAsia="仿宋_GB2312"/>
          <w:color w:val="auto"/>
          <w:sz w:val="32"/>
          <w:szCs w:val="32"/>
        </w:rPr>
        <w:t>8号线一期一里井站</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lang w:val="en-US" w:eastAsia="zh-CN"/>
        </w:rPr>
        <w:t>途经阜阳路、徽州大道、拉萨路，</w:t>
      </w:r>
      <w:r>
        <w:rPr>
          <w:rFonts w:hint="eastAsia" w:ascii="仿宋_GB2312" w:hAnsi="宋体" w:eastAsia="仿宋_GB2312"/>
          <w:color w:val="auto"/>
          <w:sz w:val="32"/>
          <w:szCs w:val="32"/>
        </w:rPr>
        <w:t>止于拉萨路</w:t>
      </w:r>
      <w:r>
        <w:rPr>
          <w:rFonts w:hint="eastAsia" w:ascii="仿宋_GB2312" w:hAnsi="宋体" w:eastAsia="仿宋_GB2312"/>
          <w:color w:val="auto"/>
          <w:sz w:val="32"/>
          <w:szCs w:val="32"/>
          <w:lang w:val="en-US" w:eastAsia="zh-CN"/>
        </w:rPr>
        <w:t>与贵州南路交叉口</w:t>
      </w:r>
      <w:r>
        <w:rPr>
          <w:rFonts w:hint="eastAsia" w:ascii="仿宋_GB2312" w:hAnsi="宋体" w:eastAsia="仿宋_GB2312"/>
          <w:color w:val="auto"/>
          <w:sz w:val="32"/>
          <w:szCs w:val="32"/>
        </w:rPr>
        <w:t>，</w:t>
      </w:r>
      <w:r>
        <w:rPr>
          <w:rFonts w:hint="eastAsia" w:ascii="仿宋_GB2312" w:hAnsi="宋体" w:eastAsia="仿宋_GB2312"/>
          <w:color w:val="auto"/>
          <w:sz w:val="32"/>
          <w:szCs w:val="32"/>
          <w:lang w:eastAsia="zh-CN"/>
        </w:rPr>
        <w:t>串联骆岗生态公园、滨湖、老城一核两心，实现城市组团间快速通达</w:t>
      </w:r>
      <w:r>
        <w:rPr>
          <w:rFonts w:hint="eastAsia" w:ascii="仿宋_GB2312" w:hAnsi="宋体" w:eastAsia="仿宋_GB2312"/>
          <w:color w:val="auto"/>
          <w:sz w:val="32"/>
          <w:szCs w:val="32"/>
        </w:rPr>
        <w:t>；</w:t>
      </w:r>
      <w:r>
        <w:rPr>
          <w:rFonts w:hint="eastAsia" w:ascii="仿宋_GB2312" w:hAnsi="宋体" w:eastAsia="仿宋_GB2312"/>
          <w:color w:val="auto"/>
          <w:sz w:val="32"/>
          <w:szCs w:val="32"/>
          <w:lang w:val="en-US" w:eastAsia="zh-CN"/>
        </w:rPr>
        <w:t>线路</w:t>
      </w:r>
      <w:r>
        <w:rPr>
          <w:rFonts w:hint="eastAsia" w:ascii="仿宋_GB2312" w:hAnsi="宋体" w:eastAsia="仿宋_GB2312"/>
          <w:color w:val="auto"/>
          <w:sz w:val="32"/>
          <w:szCs w:val="32"/>
        </w:rPr>
        <w:t>长</w:t>
      </w:r>
      <w:r>
        <w:rPr>
          <w:rFonts w:hint="eastAsia" w:ascii="仿宋_GB2312" w:hAnsi="宋体" w:eastAsia="仿宋_GB2312"/>
          <w:color w:val="auto"/>
          <w:sz w:val="32"/>
          <w:szCs w:val="32"/>
          <w:lang w:val="en-US" w:eastAsia="zh-CN"/>
        </w:rPr>
        <w:t>约</w:t>
      </w:r>
      <w:r>
        <w:rPr>
          <w:rFonts w:hint="eastAsia" w:ascii="仿宋_GB2312" w:hAnsi="宋体" w:eastAsia="仿宋_GB2312"/>
          <w:color w:val="auto"/>
          <w:sz w:val="32"/>
          <w:szCs w:val="32"/>
        </w:rPr>
        <w:t>24.5km，</w:t>
      </w:r>
      <w:r>
        <w:rPr>
          <w:rFonts w:hint="eastAsia" w:ascii="仿宋_GB2312" w:hAnsi="宋体" w:eastAsia="仿宋_GB2312"/>
          <w:color w:val="auto"/>
          <w:sz w:val="32"/>
          <w:szCs w:val="32"/>
          <w:lang w:val="en-US" w:eastAsia="zh-CN"/>
        </w:rPr>
        <w:t>均为地下线，</w:t>
      </w:r>
      <w:r>
        <w:rPr>
          <w:rFonts w:hint="eastAsia" w:ascii="仿宋_GB2312" w:hAnsi="宋体" w:eastAsia="仿宋_GB2312"/>
          <w:color w:val="auto"/>
          <w:sz w:val="32"/>
          <w:szCs w:val="32"/>
        </w:rPr>
        <w:t>车站1</w:t>
      </w:r>
      <w:r>
        <w:rPr>
          <w:rFonts w:hint="eastAsia" w:ascii="仿宋_GB2312" w:hAnsi="宋体" w:eastAsia="仿宋_GB2312"/>
          <w:color w:val="auto"/>
          <w:sz w:val="32"/>
          <w:szCs w:val="32"/>
          <w:lang w:val="en-US" w:eastAsia="zh-CN"/>
        </w:rPr>
        <w:t>6</w:t>
      </w:r>
      <w:r>
        <w:rPr>
          <w:rFonts w:hint="eastAsia" w:ascii="仿宋_GB2312" w:hAnsi="宋体" w:eastAsia="仿宋_GB2312"/>
          <w:color w:val="auto"/>
          <w:sz w:val="32"/>
          <w:szCs w:val="32"/>
        </w:rPr>
        <w:t>座，设</w:t>
      </w:r>
      <w:r>
        <w:rPr>
          <w:rFonts w:hint="eastAsia" w:ascii="仿宋_GB2312" w:hAnsi="宋体" w:eastAsia="仿宋_GB2312"/>
          <w:color w:val="auto"/>
          <w:sz w:val="32"/>
          <w:szCs w:val="32"/>
          <w:lang w:val="en-US" w:eastAsia="zh-CN"/>
        </w:rPr>
        <w:t>1座</w:t>
      </w:r>
      <w:r>
        <w:rPr>
          <w:rFonts w:hint="eastAsia" w:ascii="仿宋_GB2312" w:hAnsi="宋体" w:eastAsia="仿宋_GB2312"/>
          <w:color w:val="auto"/>
          <w:sz w:val="32"/>
          <w:szCs w:val="32"/>
        </w:rPr>
        <w:t>停车场。</w:t>
      </w:r>
    </w:p>
    <w:p>
      <w:pPr>
        <w:ind w:firstLine="640" w:firstLineChars="200"/>
        <w:rPr>
          <w:rFonts w:hint="default" w:ascii="仿宋_GB2312" w:hAnsi="宋体" w:eastAsia="仿宋_GB2312"/>
          <w:color w:val="auto"/>
          <w:sz w:val="32"/>
          <w:szCs w:val="32"/>
          <w:lang w:val="en-US" w:eastAsia="zh-CN"/>
        </w:rPr>
      </w:pPr>
      <w:r>
        <w:rPr>
          <w:rFonts w:hint="eastAsia" w:ascii="仿宋_GB2312" w:hAnsi="宋体" w:eastAsia="仿宋_GB2312"/>
          <w:color w:val="auto"/>
          <w:sz w:val="32"/>
          <w:szCs w:val="32"/>
        </w:rPr>
        <w:t>（</w:t>
      </w:r>
      <w:r>
        <w:rPr>
          <w:rFonts w:ascii="仿宋_GB2312" w:hAnsi="宋体" w:eastAsia="仿宋_GB2312"/>
          <w:color w:val="auto"/>
          <w:sz w:val="32"/>
          <w:szCs w:val="32"/>
        </w:rPr>
        <w:t>5</w:t>
      </w:r>
      <w:r>
        <w:rPr>
          <w:rFonts w:hint="eastAsia" w:ascii="仿宋_GB2312" w:hAnsi="宋体" w:eastAsia="仿宋_GB2312"/>
          <w:color w:val="auto"/>
          <w:sz w:val="32"/>
          <w:szCs w:val="32"/>
        </w:rPr>
        <w:t>）</w:t>
      </w:r>
      <w:r>
        <w:rPr>
          <w:rFonts w:hint="eastAsia" w:ascii="仿宋_GB2312" w:hAnsi="宋体" w:eastAsia="仿宋_GB2312"/>
          <w:color w:val="auto"/>
          <w:sz w:val="32"/>
          <w:szCs w:val="32"/>
          <w:lang w:val="en-US" w:eastAsia="zh-CN"/>
        </w:rPr>
        <w:t>9号线一期</w:t>
      </w:r>
    </w:p>
    <w:p>
      <w:pPr>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rPr>
        <w:t>线路起于</w:t>
      </w:r>
      <w:r>
        <w:rPr>
          <w:rFonts w:hint="eastAsia" w:ascii="仿宋_GB2312" w:hAnsi="宋体" w:eastAsia="仿宋_GB2312"/>
          <w:color w:val="auto"/>
          <w:sz w:val="32"/>
          <w:szCs w:val="32"/>
          <w:highlight w:val="none"/>
        </w:rPr>
        <w:t>耕耘路</w:t>
      </w:r>
      <w:r>
        <w:rPr>
          <w:rFonts w:hint="eastAsia" w:ascii="仿宋_GB2312" w:hAnsi="宋体" w:eastAsia="仿宋_GB2312"/>
          <w:color w:val="auto"/>
          <w:sz w:val="32"/>
          <w:szCs w:val="32"/>
          <w:highlight w:val="none"/>
          <w:lang w:val="en-US" w:eastAsia="zh-CN"/>
        </w:rPr>
        <w:t>与莲花路交叉口</w:t>
      </w:r>
      <w:r>
        <w:rPr>
          <w:rFonts w:hint="eastAsia" w:ascii="仿宋_GB2312" w:hAnsi="宋体" w:eastAsia="仿宋_GB2312"/>
          <w:color w:val="auto"/>
          <w:sz w:val="32"/>
          <w:szCs w:val="32"/>
        </w:rPr>
        <w:t>，</w:t>
      </w:r>
      <w:r>
        <w:rPr>
          <w:rFonts w:hint="eastAsia" w:ascii="仿宋_GB2312" w:hAnsi="宋体" w:eastAsia="仿宋_GB2312"/>
          <w:color w:val="auto"/>
          <w:sz w:val="32"/>
          <w:szCs w:val="32"/>
          <w:lang w:val="en-US" w:eastAsia="zh-CN"/>
        </w:rPr>
        <w:t>途经莲花路、金寨路、十五里河路、南屏路、肥西路、芜湖路、和平路、广德路、长临路、大众路、高皇山路，</w:t>
      </w:r>
      <w:r>
        <w:rPr>
          <w:rFonts w:hint="eastAsia" w:ascii="仿宋_GB2312" w:hAnsi="宋体" w:eastAsia="仿宋_GB2312"/>
          <w:color w:val="auto"/>
          <w:sz w:val="32"/>
          <w:szCs w:val="32"/>
        </w:rPr>
        <w:t>止于梅冲湖路</w:t>
      </w:r>
      <w:r>
        <w:rPr>
          <w:rFonts w:hint="eastAsia" w:ascii="仿宋_GB2312" w:hAnsi="宋体" w:eastAsia="仿宋_GB2312"/>
          <w:color w:val="auto"/>
          <w:sz w:val="32"/>
          <w:szCs w:val="32"/>
          <w:lang w:val="en-US" w:eastAsia="zh-CN"/>
        </w:rPr>
        <w:t>与高皇山路交叉口</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rPr>
        <w:t>为中心城区线路，可加密中心城区线网，加强新站区、东部新中心、经开中心与老城中心的联系。</w:t>
      </w:r>
      <w:r>
        <w:rPr>
          <w:rFonts w:hint="eastAsia" w:ascii="仿宋_GB2312" w:hAnsi="宋体" w:eastAsia="仿宋_GB2312"/>
          <w:color w:val="auto"/>
          <w:sz w:val="32"/>
          <w:szCs w:val="32"/>
          <w:lang w:val="en-US" w:eastAsia="zh-CN"/>
        </w:rPr>
        <w:t>线路</w:t>
      </w:r>
      <w:r>
        <w:rPr>
          <w:rFonts w:hint="eastAsia" w:ascii="仿宋_GB2312" w:hAnsi="宋体" w:eastAsia="仿宋_GB2312"/>
          <w:color w:val="auto"/>
          <w:sz w:val="32"/>
          <w:szCs w:val="32"/>
        </w:rPr>
        <w:t>长</w:t>
      </w:r>
      <w:r>
        <w:rPr>
          <w:rFonts w:hint="eastAsia" w:ascii="仿宋_GB2312" w:hAnsi="宋体" w:eastAsia="仿宋_GB2312"/>
          <w:color w:val="auto"/>
          <w:sz w:val="32"/>
          <w:szCs w:val="32"/>
          <w:lang w:val="en-US" w:eastAsia="zh-CN"/>
        </w:rPr>
        <w:t>约</w:t>
      </w:r>
      <w:r>
        <w:rPr>
          <w:rFonts w:hint="eastAsia" w:ascii="仿宋_GB2312" w:hAnsi="宋体" w:eastAsia="仿宋_GB2312"/>
          <w:color w:val="auto"/>
          <w:sz w:val="32"/>
          <w:szCs w:val="32"/>
        </w:rPr>
        <w:t>38.6km，车站25座，设</w:t>
      </w:r>
      <w:r>
        <w:rPr>
          <w:rFonts w:hint="eastAsia" w:ascii="仿宋_GB2312" w:hAnsi="宋体" w:eastAsia="仿宋_GB2312"/>
          <w:color w:val="auto"/>
          <w:sz w:val="32"/>
          <w:szCs w:val="32"/>
          <w:lang w:val="en-US" w:eastAsia="zh-CN"/>
        </w:rPr>
        <w:t>1座车辆段，1座停车场</w:t>
      </w:r>
      <w:r>
        <w:rPr>
          <w:rFonts w:hint="eastAsia" w:ascii="仿宋_GB2312" w:hAnsi="宋体" w:eastAsia="仿宋_GB2312"/>
          <w:color w:val="auto"/>
          <w:sz w:val="32"/>
          <w:szCs w:val="32"/>
        </w:rPr>
        <w:t>。</w:t>
      </w:r>
    </w:p>
    <w:p>
      <w:pPr>
        <w:ind w:firstLine="640" w:firstLineChars="200"/>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rPr>
        <w:t>（</w:t>
      </w:r>
      <w:r>
        <w:rPr>
          <w:rFonts w:ascii="仿宋_GB2312" w:hAnsi="宋体" w:eastAsia="仿宋_GB2312"/>
          <w:color w:val="auto"/>
          <w:sz w:val="32"/>
          <w:szCs w:val="32"/>
        </w:rPr>
        <w:t>6</w:t>
      </w:r>
      <w:r>
        <w:rPr>
          <w:rFonts w:hint="eastAsia" w:ascii="仿宋_GB2312" w:hAnsi="宋体" w:eastAsia="仿宋_GB2312"/>
          <w:color w:val="auto"/>
          <w:sz w:val="32"/>
          <w:szCs w:val="32"/>
        </w:rPr>
        <w:t>）</w:t>
      </w:r>
      <w:r>
        <w:rPr>
          <w:rFonts w:hint="eastAsia" w:ascii="仿宋_GB2312" w:hAnsi="宋体" w:eastAsia="仿宋_GB2312"/>
          <w:color w:val="auto"/>
          <w:sz w:val="32"/>
          <w:szCs w:val="32"/>
          <w:lang w:val="en-US" w:eastAsia="zh-CN"/>
        </w:rPr>
        <w:t>12号线</w:t>
      </w:r>
    </w:p>
    <w:p>
      <w:pPr>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rPr>
        <w:t>线路起于</w:t>
      </w:r>
      <w:r>
        <w:rPr>
          <w:rFonts w:hint="eastAsia" w:ascii="仿宋_GB2312" w:hAnsi="宋体" w:eastAsia="仿宋_GB2312"/>
          <w:color w:val="auto"/>
          <w:sz w:val="32"/>
          <w:szCs w:val="32"/>
          <w:lang w:val="en-US" w:eastAsia="zh-CN"/>
        </w:rPr>
        <w:t>在建新桥机场</w:t>
      </w:r>
      <w:r>
        <w:rPr>
          <w:rFonts w:hint="eastAsia" w:ascii="仿宋_GB2312" w:hAnsi="宋体" w:eastAsia="仿宋_GB2312"/>
          <w:color w:val="auto"/>
          <w:sz w:val="32"/>
          <w:szCs w:val="32"/>
        </w:rPr>
        <w:t>S1线五里墩站，</w:t>
      </w:r>
      <w:r>
        <w:rPr>
          <w:rFonts w:hint="eastAsia" w:ascii="仿宋_GB2312" w:hAnsi="宋体" w:eastAsia="仿宋_GB2312"/>
          <w:color w:val="auto"/>
          <w:sz w:val="32"/>
          <w:szCs w:val="32"/>
          <w:lang w:val="en-US" w:eastAsia="zh-CN"/>
        </w:rPr>
        <w:t>途经东至路、包河大道、安徽路、中山路，</w:t>
      </w:r>
      <w:r>
        <w:rPr>
          <w:rFonts w:hint="eastAsia" w:ascii="仿宋_GB2312" w:hAnsi="宋体" w:eastAsia="仿宋_GB2312"/>
          <w:color w:val="auto"/>
          <w:sz w:val="32"/>
          <w:szCs w:val="32"/>
        </w:rPr>
        <w:t>止于广东路</w:t>
      </w:r>
      <w:r>
        <w:rPr>
          <w:rFonts w:hint="eastAsia" w:ascii="仿宋_GB2312" w:hAnsi="宋体" w:eastAsia="仿宋_GB2312"/>
          <w:color w:val="auto"/>
          <w:sz w:val="32"/>
          <w:szCs w:val="32"/>
          <w:lang w:val="en-US" w:eastAsia="zh-CN"/>
        </w:rPr>
        <w:t>与珠海路交叉口</w:t>
      </w:r>
      <w:r>
        <w:rPr>
          <w:rFonts w:hint="eastAsia" w:ascii="仿宋_GB2312" w:hAnsi="宋体" w:eastAsia="仿宋_GB2312"/>
          <w:color w:val="auto"/>
          <w:sz w:val="32"/>
          <w:szCs w:val="32"/>
        </w:rPr>
        <w:t>，</w:t>
      </w:r>
      <w:r>
        <w:rPr>
          <w:rFonts w:hint="eastAsia" w:ascii="仿宋_GB2312" w:hAnsi="宋体" w:eastAsia="仿宋_GB2312"/>
          <w:color w:val="auto"/>
          <w:sz w:val="32"/>
          <w:szCs w:val="32"/>
          <w:lang w:val="en-US" w:eastAsia="zh-CN"/>
        </w:rPr>
        <w:t>12号线</w:t>
      </w:r>
      <w:r>
        <w:rPr>
          <w:rFonts w:hint="eastAsia" w:ascii="仿宋_GB2312" w:hAnsi="宋体" w:eastAsia="仿宋_GB2312"/>
          <w:color w:val="auto"/>
          <w:sz w:val="32"/>
          <w:szCs w:val="32"/>
        </w:rPr>
        <w:t>与S1衔接，串联机场、高铁西站、高铁南站三大枢纽，实现空铁联运，促进四网融合，满足中心城区快速直达机场出行需求。</w:t>
      </w:r>
      <w:r>
        <w:rPr>
          <w:rFonts w:hint="eastAsia" w:ascii="仿宋_GB2312" w:hAnsi="宋体" w:eastAsia="仿宋_GB2312"/>
          <w:color w:val="auto"/>
          <w:sz w:val="32"/>
          <w:szCs w:val="32"/>
          <w:lang w:val="en-US" w:eastAsia="zh-CN"/>
        </w:rPr>
        <w:t>线路</w:t>
      </w:r>
      <w:r>
        <w:rPr>
          <w:rFonts w:hint="eastAsia" w:ascii="仿宋_GB2312" w:hAnsi="宋体" w:eastAsia="仿宋_GB2312"/>
          <w:color w:val="auto"/>
          <w:sz w:val="32"/>
          <w:szCs w:val="32"/>
        </w:rPr>
        <w:t>长</w:t>
      </w:r>
      <w:r>
        <w:rPr>
          <w:rFonts w:hint="eastAsia" w:ascii="仿宋_GB2312" w:hAnsi="宋体" w:eastAsia="仿宋_GB2312"/>
          <w:color w:val="auto"/>
          <w:sz w:val="32"/>
          <w:szCs w:val="32"/>
          <w:lang w:val="en-US" w:eastAsia="zh-CN"/>
        </w:rPr>
        <w:t>约</w:t>
      </w:r>
      <w:r>
        <w:rPr>
          <w:rFonts w:hint="eastAsia" w:ascii="仿宋_GB2312" w:hAnsi="宋体" w:eastAsia="仿宋_GB2312"/>
          <w:color w:val="auto"/>
          <w:sz w:val="32"/>
          <w:szCs w:val="32"/>
        </w:rPr>
        <w:t>22.4km，</w:t>
      </w:r>
      <w:r>
        <w:rPr>
          <w:rFonts w:hint="eastAsia" w:ascii="仿宋_GB2312" w:hAnsi="宋体" w:eastAsia="仿宋_GB2312"/>
          <w:color w:val="auto"/>
          <w:sz w:val="32"/>
          <w:szCs w:val="32"/>
          <w:lang w:val="en-US" w:eastAsia="zh-CN"/>
        </w:rPr>
        <w:t>均为地下线，</w:t>
      </w:r>
      <w:r>
        <w:rPr>
          <w:rFonts w:hint="eastAsia" w:ascii="仿宋_GB2312" w:hAnsi="宋体" w:eastAsia="仿宋_GB2312"/>
          <w:color w:val="auto"/>
          <w:sz w:val="32"/>
          <w:szCs w:val="32"/>
        </w:rPr>
        <w:t>车站13座，设</w:t>
      </w:r>
      <w:r>
        <w:rPr>
          <w:rFonts w:hint="eastAsia" w:ascii="仿宋_GB2312" w:hAnsi="宋体" w:eastAsia="仿宋_GB2312"/>
          <w:color w:val="auto"/>
          <w:sz w:val="32"/>
          <w:szCs w:val="32"/>
          <w:lang w:val="en-US" w:eastAsia="zh-CN"/>
        </w:rPr>
        <w:t>1座</w:t>
      </w:r>
      <w:r>
        <w:rPr>
          <w:rFonts w:hint="eastAsia" w:ascii="仿宋_GB2312" w:hAnsi="宋体" w:eastAsia="仿宋_GB2312"/>
          <w:color w:val="auto"/>
          <w:sz w:val="32"/>
          <w:szCs w:val="32"/>
        </w:rPr>
        <w:t>停车场。</w:t>
      </w:r>
    </w:p>
    <w:p>
      <w:pPr>
        <w:ind w:firstLine="627" w:firstLineChars="196"/>
        <w:outlineLvl w:val="0"/>
        <w:rPr>
          <w:rFonts w:hint="eastAsia" w:ascii="黑体" w:hAnsi="宋体" w:eastAsia="黑体"/>
          <w:color w:val="auto"/>
          <w:sz w:val="32"/>
          <w:szCs w:val="32"/>
        </w:rPr>
      </w:pPr>
      <w:r>
        <w:rPr>
          <w:rFonts w:hint="eastAsia" w:ascii="黑体" w:hAnsi="宋体" w:eastAsia="黑体"/>
          <w:color w:val="auto"/>
          <w:sz w:val="32"/>
          <w:szCs w:val="32"/>
        </w:rPr>
        <w:t>二、环境影响说明</w:t>
      </w:r>
    </w:p>
    <w:p>
      <w:pPr>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rPr>
        <w:t>轨道交通建设对环境的影响大致分为两个方面，一是对城市生态和社会经济的影响，二是对沿线区域声、振动、电磁、水等环境要素的影响。从环境因素的性质特征看，轨道交通建设规划与轨道交通建设项目在本质上是相同的；但轨道交通建设规划线路多，涉及区域广，使其对城市生态、社会经济环境和各环境要素的影响呈宏观特性，可从规划规模、布局等源头上优化方案，控制对环境的影响；而轨道交通建设项目因方案确定、受影响的敏感点和环境具体明确，其对环境的影响可以较为准确的预测，并可据此提出具体明确的环保措施。</w:t>
      </w:r>
    </w:p>
    <w:p>
      <w:pPr>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rPr>
        <w:t>（1）对城市生态和社会经济环境的影响</w:t>
      </w:r>
    </w:p>
    <w:p>
      <w:pPr>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rPr>
        <w:t>城市生态系统是由某一特定区域内的人口、资源、环境通过各种相生相克的关系建立起来的人类聚集地，由其构成的这一系统中，可分为生物系统、非生物系统、社会系统。</w:t>
      </w:r>
    </w:p>
    <w:p>
      <w:pPr>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rPr>
        <w:t>轨道交通建设对该系统的影响，在生物系统方面主要是对动植物、城市绿化系统等的影响；在非生物系统方面主要是对城市景观的影响、对环境资源系统中土地、水资源的影响、对能源系统中自然能源（水电）和化石燃料（煤电、燃油）的影响；在社会系统方面主要是对居民造成的社会影响、对各类文化、自然保护设施的影响等。</w:t>
      </w:r>
    </w:p>
    <w:p>
      <w:pPr>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rPr>
        <w:t>本次轨道交通建设规划是在确保符合城市性质、城市发展目标、产业结构、生产布局等国土空间规划的前提下编制的，因此，它与环境保护规划、绿地系统规划等城市专项规划存在着密切的关系，且相互影响和制约。</w:t>
      </w:r>
    </w:p>
    <w:p>
      <w:pPr>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rPr>
        <w:t>（2）对相关环境要素的影响</w:t>
      </w:r>
    </w:p>
    <w:p>
      <w:pPr>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rPr>
        <w:t>根据现有城市轨道交通工程环境影响评价经验和实际运营结果，总体上讲，其对各环境要素的影响是以能量损耗型为主，即噪声、振动、电磁辐射，以物质损耗型为辅，即污水、废气、固体废物。</w:t>
      </w:r>
    </w:p>
    <w:p>
      <w:pPr>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rPr>
        <w:t>城市轨道交通的环境影响从空间概念上可分为以下单元：区间线路（全为地下线），车辆段、停车场及其出入线（地下、地面段及衔接段），变电所，地下车站风亭等。</w:t>
      </w:r>
    </w:p>
    <w:p>
      <w:pPr>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rPr>
        <w:t>从时间序列上可分为施工期和运营期。规划实施过程中对环境的影响主要体现在施工期和运营期。施工期相对运营期而言时间较为短暂，且多数随工程行为的结束，环境的影响也将逐渐消失；运营期的环境影响将是持久的、长期的。</w:t>
      </w:r>
    </w:p>
    <w:p>
      <w:pPr>
        <w:numPr>
          <w:ilvl w:val="0"/>
          <w:numId w:val="2"/>
        </w:numPr>
        <w:outlineLvl w:val="0"/>
        <w:rPr>
          <w:rFonts w:ascii="黑体" w:hAnsi="宋体" w:eastAsia="黑体"/>
          <w:color w:val="auto"/>
          <w:sz w:val="32"/>
          <w:szCs w:val="32"/>
        </w:rPr>
      </w:pPr>
      <w:r>
        <w:rPr>
          <w:rFonts w:hint="eastAsia" w:ascii="黑体" w:hAnsi="宋体" w:eastAsia="黑体"/>
          <w:color w:val="auto"/>
          <w:sz w:val="32"/>
          <w:szCs w:val="32"/>
        </w:rPr>
        <w:t>规划环评结论</w:t>
      </w:r>
      <w:bookmarkStart w:id="0" w:name="_Toc349723654"/>
    </w:p>
    <w:p>
      <w:pPr>
        <w:ind w:firstLine="640" w:firstLineChars="200"/>
        <w:rPr>
          <w:rFonts w:ascii="仿宋_GB2312" w:hAnsi="宋体" w:eastAsia="仿宋_GB2312"/>
          <w:color w:val="auto"/>
          <w:sz w:val="32"/>
          <w:szCs w:val="32"/>
        </w:rPr>
      </w:pPr>
      <w:r>
        <w:rPr>
          <w:rFonts w:ascii="仿宋_GB2312" w:hAnsi="宋体" w:eastAsia="仿宋_GB2312"/>
          <w:color w:val="auto"/>
          <w:sz w:val="32"/>
          <w:szCs w:val="32"/>
        </w:rPr>
        <w:t>3.1</w:t>
      </w:r>
      <w:r>
        <w:rPr>
          <w:rFonts w:hint="eastAsia" w:ascii="仿宋_GB2312" w:hAnsi="宋体" w:eastAsia="仿宋_GB2312"/>
          <w:color w:val="auto"/>
          <w:sz w:val="32"/>
          <w:szCs w:val="32"/>
        </w:rPr>
        <w:tab/>
      </w:r>
      <w:r>
        <w:rPr>
          <w:rFonts w:hint="eastAsia" w:ascii="仿宋_GB2312" w:hAnsi="宋体" w:eastAsia="仿宋_GB2312"/>
          <w:color w:val="auto"/>
          <w:sz w:val="32"/>
          <w:szCs w:val="32"/>
        </w:rPr>
        <w:t>环境影响评价主要结论</w:t>
      </w:r>
    </w:p>
    <w:p>
      <w:pPr>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3</w:t>
      </w:r>
      <w:r>
        <w:rPr>
          <w:rFonts w:ascii="仿宋_GB2312" w:hAnsi="宋体" w:eastAsia="仿宋_GB2312"/>
          <w:color w:val="auto"/>
          <w:sz w:val="32"/>
          <w:szCs w:val="32"/>
        </w:rPr>
        <w:t>.1.1声环境影响</w:t>
      </w:r>
      <w:bookmarkEnd w:id="0"/>
    </w:p>
    <w:p>
      <w:pPr>
        <w:ind w:firstLine="640" w:firstLineChars="200"/>
        <w:rPr>
          <w:rFonts w:ascii="仿宋_GB2312" w:hAnsi="宋体" w:eastAsia="仿宋_GB2312"/>
          <w:color w:val="auto"/>
          <w:sz w:val="32"/>
          <w:szCs w:val="32"/>
        </w:rPr>
      </w:pPr>
      <w:r>
        <w:rPr>
          <w:rFonts w:ascii="仿宋_GB2312" w:hAnsi="宋体" w:eastAsia="仿宋_GB2312"/>
          <w:color w:val="auto"/>
          <w:sz w:val="32"/>
          <w:szCs w:val="32"/>
        </w:rPr>
        <w:t>本次建设规划各线路均为地下线，从声环境保护的角度，地下线敷设方式是对声环境影响最小的轨道交通方式。</w:t>
      </w:r>
    </w:p>
    <w:p>
      <w:pPr>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地下区段在风亭、冷却塔噪声中，冷却塔噪声占有主导地位，为减少工程拆迁量，节约城区土地资源，选用低噪声环控设备或“防治结合”提出针对性的噪声治理方案，可有效控制地下车站风亭区噪声影响。</w:t>
      </w:r>
      <w:r>
        <w:rPr>
          <w:rFonts w:ascii="仿宋_GB2312" w:hAnsi="宋体" w:eastAsia="仿宋_GB2312"/>
          <w:color w:val="auto"/>
          <w:sz w:val="32"/>
          <w:szCs w:val="32"/>
        </w:rPr>
        <w:t>停车场</w:t>
      </w:r>
      <w:r>
        <w:rPr>
          <w:rFonts w:hint="eastAsia" w:ascii="仿宋_GB2312" w:hAnsi="宋体" w:eastAsia="仿宋_GB2312"/>
          <w:color w:val="auto"/>
          <w:sz w:val="32"/>
          <w:szCs w:val="32"/>
        </w:rPr>
        <w:t>、车辆段</w:t>
      </w:r>
      <w:r>
        <w:rPr>
          <w:rFonts w:ascii="仿宋_GB2312" w:hAnsi="宋体" w:eastAsia="仿宋_GB2312"/>
          <w:color w:val="auto"/>
          <w:sz w:val="32"/>
          <w:szCs w:val="32"/>
        </w:rPr>
        <w:t>出入场线应尽量采用地下敷设方式，场</w:t>
      </w:r>
      <w:r>
        <w:rPr>
          <w:rFonts w:hint="eastAsia" w:ascii="仿宋_GB2312" w:hAnsi="宋体" w:eastAsia="仿宋_GB2312"/>
          <w:color w:val="auto"/>
          <w:sz w:val="32"/>
          <w:szCs w:val="32"/>
        </w:rPr>
        <w:t>段</w:t>
      </w:r>
      <w:r>
        <w:rPr>
          <w:rFonts w:ascii="仿宋_GB2312" w:hAnsi="宋体" w:eastAsia="仿宋_GB2312"/>
          <w:color w:val="auto"/>
          <w:sz w:val="32"/>
          <w:szCs w:val="32"/>
        </w:rPr>
        <w:t>内合理布局，厂界噪声可以</w:t>
      </w:r>
      <w:r>
        <w:rPr>
          <w:rFonts w:hint="eastAsia" w:ascii="仿宋_GB2312" w:hAnsi="宋体" w:eastAsia="仿宋_GB2312"/>
          <w:color w:val="auto"/>
          <w:sz w:val="32"/>
          <w:szCs w:val="32"/>
        </w:rPr>
        <w:t>满足国家规范要求</w:t>
      </w:r>
      <w:r>
        <w:rPr>
          <w:rFonts w:ascii="仿宋_GB2312" w:hAnsi="宋体" w:eastAsia="仿宋_GB2312"/>
          <w:color w:val="auto"/>
          <w:sz w:val="32"/>
          <w:szCs w:val="32"/>
        </w:rPr>
        <w:t>。</w:t>
      </w:r>
    </w:p>
    <w:p>
      <w:pPr>
        <w:ind w:firstLine="640" w:firstLineChars="200"/>
        <w:rPr>
          <w:rFonts w:ascii="仿宋_GB2312" w:hAnsi="宋体" w:eastAsia="仿宋_GB2312"/>
          <w:color w:val="auto"/>
          <w:sz w:val="32"/>
          <w:szCs w:val="32"/>
        </w:rPr>
      </w:pPr>
      <w:bookmarkStart w:id="1" w:name="_Toc349723655"/>
      <w:r>
        <w:rPr>
          <w:rFonts w:hint="eastAsia" w:ascii="仿宋_GB2312" w:hAnsi="宋体" w:eastAsia="仿宋_GB2312"/>
          <w:color w:val="auto"/>
          <w:sz w:val="32"/>
          <w:szCs w:val="32"/>
        </w:rPr>
        <w:t>3</w:t>
      </w:r>
      <w:r>
        <w:rPr>
          <w:rFonts w:ascii="仿宋_GB2312" w:hAnsi="宋体" w:eastAsia="仿宋_GB2312"/>
          <w:color w:val="auto"/>
          <w:sz w:val="32"/>
          <w:szCs w:val="32"/>
        </w:rPr>
        <w:t>.1.2振动环境影响</w:t>
      </w:r>
      <w:bookmarkEnd w:id="1"/>
    </w:p>
    <w:p>
      <w:pPr>
        <w:ind w:firstLine="640" w:firstLineChars="200"/>
        <w:rPr>
          <w:rFonts w:ascii="仿宋_GB2312" w:hAnsi="宋体" w:eastAsia="仿宋_GB2312"/>
          <w:color w:val="auto"/>
          <w:sz w:val="32"/>
          <w:szCs w:val="32"/>
        </w:rPr>
      </w:pPr>
      <w:r>
        <w:rPr>
          <w:rFonts w:ascii="仿宋_GB2312" w:hAnsi="宋体" w:eastAsia="仿宋_GB2312"/>
          <w:color w:val="auto"/>
          <w:sz w:val="32"/>
          <w:szCs w:val="32"/>
        </w:rPr>
        <w:t>地下线路</w:t>
      </w:r>
      <w:r>
        <w:rPr>
          <w:rFonts w:hint="eastAsia" w:ascii="仿宋_GB2312" w:hAnsi="宋体" w:eastAsia="仿宋_GB2312"/>
          <w:color w:val="auto"/>
          <w:sz w:val="32"/>
          <w:szCs w:val="32"/>
        </w:rPr>
        <w:t>主要为振动影响</w:t>
      </w:r>
      <w:r>
        <w:rPr>
          <w:rFonts w:ascii="仿宋_GB2312" w:hAnsi="宋体" w:eastAsia="仿宋_GB2312"/>
          <w:color w:val="auto"/>
          <w:sz w:val="32"/>
          <w:szCs w:val="32"/>
        </w:rPr>
        <w:t>，</w:t>
      </w:r>
      <w:r>
        <w:rPr>
          <w:rFonts w:hint="eastAsia" w:ascii="仿宋_GB2312" w:hAnsi="宋体" w:eastAsia="仿宋_GB2312"/>
          <w:color w:val="auto"/>
          <w:sz w:val="32"/>
          <w:szCs w:val="32"/>
        </w:rPr>
        <w:t>线路</w:t>
      </w:r>
      <w:r>
        <w:rPr>
          <w:rFonts w:ascii="仿宋_GB2312" w:hAnsi="宋体" w:eastAsia="仿宋_GB2312"/>
          <w:color w:val="auto"/>
          <w:sz w:val="32"/>
          <w:szCs w:val="32"/>
        </w:rPr>
        <w:t>沿线的既有或规划敏感建筑相对集中，但由于地铁振动的污染振动治理措施较为成熟，在规划实施中可根据沿线建设情况对待开发区域轨道交通线路两侧进行空间用地控制，对既有敏感建筑根据具体振动影响的程度选择相应的减振治理措施，轨道交通振动影响一般不会成为建设规划实施的制约因素。</w:t>
      </w:r>
    </w:p>
    <w:p>
      <w:pPr>
        <w:ind w:firstLine="640" w:firstLineChars="200"/>
        <w:rPr>
          <w:rFonts w:ascii="仿宋_GB2312" w:hAnsi="宋体" w:eastAsia="仿宋_GB2312"/>
          <w:color w:val="auto"/>
          <w:sz w:val="32"/>
          <w:szCs w:val="32"/>
        </w:rPr>
      </w:pPr>
      <w:r>
        <w:rPr>
          <w:rFonts w:ascii="仿宋_GB2312" w:hAnsi="宋体" w:eastAsia="仿宋_GB2312"/>
          <w:color w:val="auto"/>
          <w:sz w:val="32"/>
          <w:szCs w:val="32"/>
        </w:rPr>
        <w:t>二次结构噪声源于轨道交通车辆与轨道的振动，降低轨道交通振动就可以相应减轻二次结构噪声影响，通过采取浮置板道床、</w:t>
      </w:r>
      <w:r>
        <w:rPr>
          <w:rFonts w:hint="eastAsia" w:ascii="仿宋_GB2312" w:hAnsi="宋体" w:eastAsia="仿宋_GB2312"/>
          <w:color w:val="auto"/>
          <w:sz w:val="32"/>
          <w:szCs w:val="32"/>
        </w:rPr>
        <w:t>橡胶隔振垫减振道床</w:t>
      </w:r>
      <w:r>
        <w:rPr>
          <w:rFonts w:ascii="仿宋_GB2312" w:hAnsi="宋体" w:eastAsia="仿宋_GB2312"/>
          <w:color w:val="auto"/>
          <w:sz w:val="32"/>
          <w:szCs w:val="32"/>
        </w:rPr>
        <w:t>等减振措施可以从根本上减轻二次结构噪声影响，使二次结构噪声得到有效控制。</w:t>
      </w:r>
    </w:p>
    <w:p>
      <w:pPr>
        <w:ind w:firstLine="640" w:firstLineChars="200"/>
        <w:rPr>
          <w:rFonts w:ascii="仿宋_GB2312" w:hAnsi="宋体" w:eastAsia="仿宋_GB2312"/>
          <w:color w:val="auto"/>
          <w:sz w:val="32"/>
          <w:szCs w:val="32"/>
        </w:rPr>
      </w:pPr>
      <w:bookmarkStart w:id="2" w:name="_Toc349723656"/>
      <w:r>
        <w:rPr>
          <w:rFonts w:hint="eastAsia" w:ascii="仿宋_GB2312" w:hAnsi="宋体" w:eastAsia="仿宋_GB2312"/>
          <w:color w:val="auto"/>
          <w:sz w:val="32"/>
          <w:szCs w:val="32"/>
        </w:rPr>
        <w:t>3</w:t>
      </w:r>
      <w:r>
        <w:rPr>
          <w:rFonts w:ascii="仿宋_GB2312" w:hAnsi="宋体" w:eastAsia="仿宋_GB2312"/>
          <w:color w:val="auto"/>
          <w:sz w:val="32"/>
          <w:szCs w:val="32"/>
        </w:rPr>
        <w:t>.1.3地表水环境影响</w:t>
      </w:r>
      <w:bookmarkEnd w:id="2"/>
    </w:p>
    <w:p>
      <w:pPr>
        <w:ind w:firstLine="640" w:firstLineChars="200"/>
        <w:rPr>
          <w:rFonts w:ascii="仿宋_GB2312" w:hAnsi="宋体" w:eastAsia="仿宋_GB2312"/>
          <w:color w:val="auto"/>
          <w:sz w:val="32"/>
          <w:szCs w:val="32"/>
        </w:rPr>
      </w:pPr>
      <w:r>
        <w:rPr>
          <w:rFonts w:ascii="仿宋_GB2312" w:hAnsi="宋体" w:eastAsia="仿宋_GB2312"/>
          <w:color w:val="auto"/>
          <w:sz w:val="32"/>
          <w:szCs w:val="32"/>
        </w:rPr>
        <w:t>本规划实施期间，施工期污水主要来自轨道工程实施过程中产生的生产废水、生活污水及由地表径流导致的污染物入渗；轨道交通运营期污水主要来自于沿线车站、停车场</w:t>
      </w:r>
      <w:r>
        <w:rPr>
          <w:rFonts w:hint="eastAsia" w:ascii="仿宋_GB2312" w:hAnsi="宋体" w:eastAsia="仿宋_GB2312"/>
          <w:color w:val="auto"/>
          <w:sz w:val="32"/>
          <w:szCs w:val="32"/>
        </w:rPr>
        <w:t>、车辆段</w:t>
      </w:r>
      <w:r>
        <w:rPr>
          <w:rFonts w:ascii="仿宋_GB2312" w:hAnsi="宋体" w:eastAsia="仿宋_GB2312"/>
          <w:color w:val="auto"/>
          <w:sz w:val="32"/>
          <w:szCs w:val="32"/>
        </w:rPr>
        <w:t>排放的生产废水和生活污水。</w:t>
      </w:r>
    </w:p>
    <w:p>
      <w:pPr>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规划线路</w:t>
      </w:r>
      <w:r>
        <w:rPr>
          <w:rFonts w:ascii="仿宋_GB2312" w:hAnsi="宋体" w:eastAsia="仿宋_GB2312"/>
          <w:color w:val="auto"/>
          <w:sz w:val="32"/>
          <w:szCs w:val="32"/>
        </w:rPr>
        <w:t>涉及的停车场</w:t>
      </w:r>
      <w:r>
        <w:rPr>
          <w:rFonts w:hint="eastAsia" w:ascii="仿宋_GB2312" w:hAnsi="宋体" w:eastAsia="仿宋_GB2312"/>
          <w:color w:val="auto"/>
          <w:sz w:val="32"/>
          <w:szCs w:val="32"/>
        </w:rPr>
        <w:t>、车辆段</w:t>
      </w:r>
      <w:r>
        <w:rPr>
          <w:rFonts w:ascii="仿宋_GB2312" w:hAnsi="宋体" w:eastAsia="仿宋_GB2312"/>
          <w:color w:val="auto"/>
          <w:sz w:val="32"/>
          <w:szCs w:val="32"/>
        </w:rPr>
        <w:t>及沿线车站污水均有条件纳入市政污水管网进入所属地区污水处理厂（已建成和规划）集中处理，污水处理厂的处理工艺和处理能力均能满足处理</w:t>
      </w:r>
      <w:r>
        <w:rPr>
          <w:rFonts w:hint="eastAsia" w:ascii="仿宋_GB2312" w:hAnsi="宋体" w:eastAsia="仿宋_GB2312"/>
          <w:color w:val="auto"/>
          <w:sz w:val="32"/>
          <w:szCs w:val="32"/>
        </w:rPr>
        <w:t>规划线路</w:t>
      </w:r>
      <w:r>
        <w:rPr>
          <w:rFonts w:ascii="仿宋_GB2312" w:hAnsi="宋体" w:eastAsia="仿宋_GB2312"/>
          <w:color w:val="auto"/>
          <w:sz w:val="32"/>
          <w:szCs w:val="32"/>
        </w:rPr>
        <w:t>产生的污水要求，对地表纳污水体产生的影响较小。</w:t>
      </w:r>
    </w:p>
    <w:p>
      <w:pPr>
        <w:ind w:firstLine="640" w:firstLineChars="200"/>
        <w:rPr>
          <w:rFonts w:ascii="仿宋_GB2312" w:hAnsi="宋体" w:eastAsia="仿宋_GB2312"/>
          <w:color w:val="auto"/>
          <w:sz w:val="32"/>
          <w:szCs w:val="32"/>
        </w:rPr>
      </w:pPr>
      <w:bookmarkStart w:id="3" w:name="_Toc349723659"/>
      <w:r>
        <w:rPr>
          <w:rFonts w:hint="eastAsia" w:ascii="仿宋_GB2312" w:hAnsi="宋体" w:eastAsia="仿宋_GB2312"/>
          <w:color w:val="auto"/>
          <w:sz w:val="32"/>
          <w:szCs w:val="32"/>
        </w:rPr>
        <w:t>3</w:t>
      </w:r>
      <w:r>
        <w:rPr>
          <w:rFonts w:ascii="仿宋_GB2312" w:hAnsi="宋体" w:eastAsia="仿宋_GB2312"/>
          <w:color w:val="auto"/>
          <w:sz w:val="32"/>
          <w:szCs w:val="32"/>
        </w:rPr>
        <w:t>.1.</w:t>
      </w:r>
      <w:r>
        <w:rPr>
          <w:rFonts w:hint="eastAsia" w:ascii="仿宋_GB2312" w:hAnsi="宋体" w:eastAsia="仿宋_GB2312"/>
          <w:color w:val="auto"/>
          <w:sz w:val="32"/>
          <w:szCs w:val="32"/>
          <w:lang w:val="en-US" w:eastAsia="zh-CN"/>
        </w:rPr>
        <w:t>4</w:t>
      </w:r>
      <w:r>
        <w:rPr>
          <w:rFonts w:ascii="仿宋_GB2312" w:hAnsi="宋体" w:eastAsia="仿宋_GB2312"/>
          <w:color w:val="auto"/>
          <w:sz w:val="32"/>
          <w:szCs w:val="32"/>
        </w:rPr>
        <w:t>环境空气影响</w:t>
      </w:r>
      <w:bookmarkEnd w:id="3"/>
    </w:p>
    <w:p>
      <w:pPr>
        <w:ind w:firstLine="640" w:firstLineChars="200"/>
        <w:rPr>
          <w:rFonts w:ascii="仿宋_GB2312" w:hAnsi="宋体" w:eastAsia="仿宋_GB2312"/>
          <w:color w:val="auto"/>
          <w:sz w:val="32"/>
          <w:szCs w:val="32"/>
        </w:rPr>
      </w:pPr>
      <w:r>
        <w:rPr>
          <w:rFonts w:ascii="仿宋_GB2312" w:hAnsi="宋体" w:eastAsia="仿宋_GB2312"/>
          <w:color w:val="auto"/>
          <w:sz w:val="32"/>
          <w:szCs w:val="32"/>
        </w:rPr>
        <w:t>轨道交通列车均采用电动车组，无机车废气排放，轨道交通运营对周围区域空气环境质量的影响主要体现在车站地面风亭排风和车辆基地内少量设施排放废气，一般经消烟除尘处理后均可达标排放，影响较小。</w:t>
      </w:r>
    </w:p>
    <w:p>
      <w:pPr>
        <w:ind w:firstLine="640" w:firstLineChars="200"/>
        <w:rPr>
          <w:rFonts w:ascii="仿宋_GB2312" w:hAnsi="宋体" w:eastAsia="仿宋_GB2312"/>
          <w:color w:val="auto"/>
          <w:sz w:val="32"/>
          <w:szCs w:val="32"/>
        </w:rPr>
      </w:pPr>
      <w:r>
        <w:rPr>
          <w:rFonts w:ascii="仿宋_GB2312" w:hAnsi="宋体" w:eastAsia="仿宋_GB2312"/>
          <w:color w:val="auto"/>
          <w:sz w:val="32"/>
          <w:szCs w:val="32"/>
        </w:rPr>
        <w:t>同时，由于轨道交通建设将减少工程沿线公交汽车的尾气排放量，故规划的实施有利于沿线环境空气质量的改善。</w:t>
      </w:r>
    </w:p>
    <w:p>
      <w:pPr>
        <w:ind w:firstLine="640" w:firstLineChars="200"/>
        <w:rPr>
          <w:rFonts w:ascii="仿宋_GB2312" w:hAnsi="宋体" w:eastAsia="仿宋_GB2312"/>
          <w:color w:val="auto"/>
          <w:sz w:val="32"/>
          <w:szCs w:val="32"/>
        </w:rPr>
      </w:pPr>
      <w:bookmarkStart w:id="4" w:name="_Toc349723660"/>
      <w:r>
        <w:rPr>
          <w:rFonts w:hint="eastAsia" w:ascii="仿宋_GB2312" w:hAnsi="宋体" w:eastAsia="仿宋_GB2312"/>
          <w:color w:val="auto"/>
          <w:sz w:val="32"/>
          <w:szCs w:val="32"/>
        </w:rPr>
        <w:t>3</w:t>
      </w:r>
      <w:r>
        <w:rPr>
          <w:rFonts w:ascii="仿宋_GB2312" w:hAnsi="宋体" w:eastAsia="仿宋_GB2312"/>
          <w:color w:val="auto"/>
          <w:sz w:val="32"/>
          <w:szCs w:val="32"/>
        </w:rPr>
        <w:t>.1.</w:t>
      </w:r>
      <w:r>
        <w:rPr>
          <w:rFonts w:hint="eastAsia" w:ascii="仿宋_GB2312" w:hAnsi="宋体" w:eastAsia="仿宋_GB2312"/>
          <w:color w:val="auto"/>
          <w:sz w:val="32"/>
          <w:szCs w:val="32"/>
          <w:lang w:val="en-US" w:eastAsia="zh-CN"/>
        </w:rPr>
        <w:t>5</w:t>
      </w:r>
      <w:r>
        <w:rPr>
          <w:rFonts w:ascii="仿宋_GB2312" w:hAnsi="宋体" w:eastAsia="仿宋_GB2312"/>
          <w:color w:val="auto"/>
          <w:sz w:val="32"/>
          <w:szCs w:val="32"/>
        </w:rPr>
        <w:t>固体废物环境影响</w:t>
      </w:r>
      <w:bookmarkEnd w:id="4"/>
    </w:p>
    <w:p>
      <w:pPr>
        <w:ind w:firstLine="640" w:firstLineChars="200"/>
        <w:rPr>
          <w:rFonts w:ascii="仿宋_GB2312" w:hAnsi="宋体" w:eastAsia="仿宋_GB2312"/>
          <w:color w:val="auto"/>
          <w:sz w:val="32"/>
          <w:szCs w:val="32"/>
        </w:rPr>
      </w:pPr>
      <w:r>
        <w:rPr>
          <w:rFonts w:ascii="仿宋_GB2312" w:hAnsi="宋体" w:eastAsia="仿宋_GB2312"/>
          <w:color w:val="auto"/>
          <w:sz w:val="32"/>
          <w:szCs w:val="32"/>
        </w:rPr>
        <w:t>施工期固体废物主要为施工渣土、建筑垃圾。运营期固体废物主要为车站旅客及工作人员产生的生活垃圾，停车场</w:t>
      </w:r>
      <w:r>
        <w:rPr>
          <w:rFonts w:hint="eastAsia" w:ascii="仿宋_GB2312" w:hAnsi="宋体" w:eastAsia="仿宋_GB2312"/>
          <w:color w:val="auto"/>
          <w:sz w:val="32"/>
          <w:szCs w:val="32"/>
        </w:rPr>
        <w:t>、车辆段</w:t>
      </w:r>
      <w:r>
        <w:rPr>
          <w:rFonts w:ascii="仿宋_GB2312" w:hAnsi="宋体" w:eastAsia="仿宋_GB2312"/>
          <w:color w:val="auto"/>
          <w:sz w:val="32"/>
          <w:szCs w:val="32"/>
        </w:rPr>
        <w:t>客车清扫垃圾、少量金属切削碎屑、车辆检修产生的废旧蓄电池、灯管等，生产人员、办公人员产生的日常生活垃圾。</w:t>
      </w:r>
    </w:p>
    <w:p>
      <w:pPr>
        <w:ind w:firstLine="640" w:firstLineChars="200"/>
        <w:rPr>
          <w:rFonts w:ascii="仿宋_GB2312" w:hAnsi="宋体" w:eastAsia="仿宋_GB2312"/>
          <w:color w:val="auto"/>
          <w:sz w:val="32"/>
          <w:szCs w:val="32"/>
        </w:rPr>
      </w:pPr>
      <w:r>
        <w:rPr>
          <w:rFonts w:ascii="仿宋_GB2312" w:hAnsi="宋体" w:eastAsia="仿宋_GB2312"/>
          <w:color w:val="auto"/>
          <w:sz w:val="32"/>
          <w:szCs w:val="32"/>
        </w:rPr>
        <w:t>施工弃土和建筑垃圾处置，根据相关部门管理要求处置。生活垃圾经收集后，交给环卫部门定时清运。废旧电池等危险废弃物根据相关规定妥善存放处理。固废废物对环境基本无影响。</w:t>
      </w:r>
    </w:p>
    <w:p>
      <w:pPr>
        <w:ind w:firstLine="640" w:firstLineChars="200"/>
        <w:rPr>
          <w:rFonts w:ascii="仿宋_GB2312" w:hAnsi="宋体" w:eastAsia="仿宋_GB2312"/>
          <w:color w:val="auto"/>
          <w:sz w:val="32"/>
          <w:szCs w:val="32"/>
        </w:rPr>
      </w:pPr>
      <w:bookmarkStart w:id="5" w:name="_Toc349723661"/>
      <w:r>
        <w:rPr>
          <w:rFonts w:hint="eastAsia" w:ascii="仿宋_GB2312" w:hAnsi="宋体" w:eastAsia="仿宋_GB2312"/>
          <w:color w:val="auto"/>
          <w:sz w:val="32"/>
          <w:szCs w:val="32"/>
        </w:rPr>
        <w:t>3</w:t>
      </w:r>
      <w:r>
        <w:rPr>
          <w:rFonts w:ascii="仿宋_GB2312" w:hAnsi="宋体" w:eastAsia="仿宋_GB2312"/>
          <w:color w:val="auto"/>
          <w:sz w:val="32"/>
          <w:szCs w:val="32"/>
        </w:rPr>
        <w:t>.1.</w:t>
      </w:r>
      <w:r>
        <w:rPr>
          <w:rFonts w:hint="eastAsia" w:ascii="仿宋_GB2312" w:hAnsi="宋体" w:eastAsia="仿宋_GB2312"/>
          <w:color w:val="auto"/>
          <w:sz w:val="32"/>
          <w:szCs w:val="32"/>
          <w:lang w:val="en-US" w:eastAsia="zh-CN"/>
        </w:rPr>
        <w:t>6</w:t>
      </w:r>
      <w:r>
        <w:rPr>
          <w:rFonts w:ascii="仿宋_GB2312" w:hAnsi="宋体" w:eastAsia="仿宋_GB2312"/>
          <w:color w:val="auto"/>
          <w:sz w:val="32"/>
          <w:szCs w:val="32"/>
        </w:rPr>
        <w:t>城市生态与景观影响</w:t>
      </w:r>
      <w:bookmarkEnd w:id="5"/>
    </w:p>
    <w:p>
      <w:pPr>
        <w:ind w:firstLine="640" w:firstLineChars="200"/>
        <w:rPr>
          <w:rFonts w:ascii="仿宋_GB2312" w:hAnsi="宋体" w:eastAsia="仿宋_GB2312"/>
          <w:color w:val="auto"/>
          <w:sz w:val="32"/>
          <w:szCs w:val="32"/>
        </w:rPr>
      </w:pPr>
      <w:r>
        <w:rPr>
          <w:rFonts w:ascii="仿宋_GB2312" w:hAnsi="宋体" w:eastAsia="仿宋_GB2312"/>
          <w:color w:val="auto"/>
          <w:sz w:val="32"/>
          <w:szCs w:val="32"/>
        </w:rPr>
        <w:t>本次评价线路车站地上部分占地会对城市生态与景观产生影响，但车站基本位于现有或规划道路交叉口，对土地利用现状影响不大</w:t>
      </w:r>
      <w:r>
        <w:rPr>
          <w:rFonts w:hint="eastAsia" w:ascii="仿宋_GB2312" w:hAnsi="宋体" w:eastAsia="仿宋_GB2312"/>
          <w:color w:val="auto"/>
          <w:sz w:val="32"/>
          <w:szCs w:val="32"/>
        </w:rPr>
        <w:t>。</w:t>
      </w:r>
      <w:r>
        <w:rPr>
          <w:rFonts w:ascii="仿宋_GB2312" w:hAnsi="宋体" w:eastAsia="仿宋_GB2312"/>
          <w:color w:val="auto"/>
          <w:sz w:val="32"/>
          <w:szCs w:val="32"/>
        </w:rPr>
        <w:t>车站出入口、风亭由于其占地面积少、建筑体量小，其景观敏感度较低，停车场</w:t>
      </w:r>
      <w:r>
        <w:rPr>
          <w:rFonts w:hint="eastAsia" w:ascii="仿宋_GB2312" w:hAnsi="宋体" w:eastAsia="仿宋_GB2312"/>
          <w:color w:val="auto"/>
          <w:sz w:val="32"/>
          <w:szCs w:val="32"/>
        </w:rPr>
        <w:t>、车辆段</w:t>
      </w:r>
      <w:r>
        <w:rPr>
          <w:rFonts w:ascii="仿宋_GB2312" w:hAnsi="宋体" w:eastAsia="仿宋_GB2312"/>
          <w:color w:val="auto"/>
          <w:sz w:val="32"/>
          <w:szCs w:val="32"/>
        </w:rPr>
        <w:t>等设施通过设计也很容易实现与周围景观环境的协调。</w:t>
      </w:r>
      <w:r>
        <w:rPr>
          <w:rFonts w:hint="eastAsia" w:ascii="仿宋_GB2312" w:hAnsi="宋体" w:eastAsia="仿宋_GB2312"/>
          <w:color w:val="auto"/>
          <w:sz w:val="32"/>
          <w:szCs w:val="32"/>
        </w:rPr>
        <w:t>工程建成后地面建筑、场地四周和内部将进行以乔、灌、草相结合的绿化设计，</w:t>
      </w:r>
      <w:r>
        <w:rPr>
          <w:rFonts w:ascii="仿宋_GB2312" w:hAnsi="宋体" w:eastAsia="仿宋_GB2312"/>
          <w:color w:val="auto"/>
          <w:sz w:val="32"/>
          <w:szCs w:val="32"/>
        </w:rPr>
        <w:t>规划线路的建设不会对城市绿地系统产生不良影响。</w:t>
      </w:r>
    </w:p>
    <w:p>
      <w:pPr>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3</w:t>
      </w:r>
      <w:r>
        <w:rPr>
          <w:rFonts w:ascii="仿宋_GB2312" w:hAnsi="宋体" w:eastAsia="仿宋_GB2312"/>
          <w:color w:val="auto"/>
          <w:sz w:val="32"/>
          <w:szCs w:val="32"/>
        </w:rPr>
        <w:t>.1.</w:t>
      </w:r>
      <w:r>
        <w:rPr>
          <w:rFonts w:hint="eastAsia" w:ascii="仿宋_GB2312" w:hAnsi="宋体" w:eastAsia="仿宋_GB2312"/>
          <w:color w:val="auto"/>
          <w:sz w:val="32"/>
          <w:szCs w:val="32"/>
          <w:lang w:val="en-US" w:eastAsia="zh-CN"/>
        </w:rPr>
        <w:t>7</w:t>
      </w:r>
      <w:r>
        <w:rPr>
          <w:rFonts w:ascii="仿宋_GB2312" w:hAnsi="宋体" w:eastAsia="仿宋_GB2312"/>
          <w:color w:val="auto"/>
          <w:sz w:val="32"/>
          <w:szCs w:val="32"/>
        </w:rPr>
        <w:t>电磁</w:t>
      </w:r>
      <w:r>
        <w:rPr>
          <w:rFonts w:hint="eastAsia" w:ascii="仿宋_GB2312" w:hAnsi="宋体" w:eastAsia="仿宋_GB2312"/>
          <w:color w:val="auto"/>
          <w:sz w:val="32"/>
          <w:szCs w:val="32"/>
          <w:lang w:val="en-US" w:eastAsia="zh-CN"/>
        </w:rPr>
        <w:t>环境</w:t>
      </w:r>
      <w:r>
        <w:rPr>
          <w:rFonts w:ascii="仿宋_GB2312" w:hAnsi="宋体" w:eastAsia="仿宋_GB2312"/>
          <w:color w:val="auto"/>
          <w:sz w:val="32"/>
          <w:szCs w:val="32"/>
        </w:rPr>
        <w:t>影响</w:t>
      </w:r>
    </w:p>
    <w:p>
      <w:pPr>
        <w:ind w:firstLine="640" w:firstLineChars="200"/>
        <w:rPr>
          <w:rFonts w:ascii="仿宋_GB2312" w:hAnsi="宋体" w:eastAsia="仿宋_GB2312"/>
          <w:color w:val="auto"/>
          <w:sz w:val="32"/>
          <w:szCs w:val="32"/>
        </w:rPr>
      </w:pPr>
      <w:r>
        <w:rPr>
          <w:rFonts w:ascii="仿宋_GB2312" w:hAnsi="宋体" w:eastAsia="仿宋_GB2312"/>
          <w:color w:val="auto"/>
          <w:sz w:val="32"/>
          <w:szCs w:val="32"/>
        </w:rPr>
        <w:t>根据类比监测，规划实施后，靠近主变电所区域工频电磁场会略高于环境背景值，但不超过相关电磁环境标准限值，也不会对人体健康产生有害影响。</w:t>
      </w:r>
    </w:p>
    <w:p>
      <w:pPr>
        <w:ind w:firstLine="640" w:firstLineChars="200"/>
        <w:rPr>
          <w:rFonts w:ascii="仿宋_GB2312" w:hAnsi="宋体" w:eastAsia="仿宋_GB2312"/>
          <w:color w:val="auto"/>
          <w:sz w:val="32"/>
          <w:szCs w:val="32"/>
        </w:rPr>
      </w:pPr>
      <w:r>
        <w:rPr>
          <w:rFonts w:ascii="仿宋_GB2312" w:hAnsi="宋体" w:eastAsia="仿宋_GB2312"/>
          <w:color w:val="auto"/>
          <w:sz w:val="32"/>
          <w:szCs w:val="32"/>
        </w:rPr>
        <w:t>3.2</w:t>
      </w:r>
      <w:r>
        <w:rPr>
          <w:rFonts w:hint="eastAsia" w:ascii="仿宋_GB2312" w:hAnsi="宋体" w:eastAsia="仿宋_GB2312"/>
          <w:color w:val="auto"/>
          <w:sz w:val="32"/>
          <w:szCs w:val="32"/>
        </w:rPr>
        <w:tab/>
      </w:r>
      <w:r>
        <w:rPr>
          <w:rFonts w:hint="eastAsia" w:ascii="仿宋_GB2312" w:hAnsi="宋体" w:eastAsia="仿宋_GB2312"/>
          <w:color w:val="auto"/>
          <w:sz w:val="32"/>
          <w:szCs w:val="32"/>
        </w:rPr>
        <w:t>总体评价结论</w:t>
      </w:r>
    </w:p>
    <w:p>
      <w:pPr>
        <w:ind w:firstLine="640" w:firstLineChars="200"/>
        <w:rPr>
          <w:rFonts w:ascii="仿宋_GB2312" w:hAnsi="宋体" w:eastAsia="仿宋_GB2312"/>
          <w:color w:val="auto"/>
          <w:sz w:val="32"/>
          <w:szCs w:val="32"/>
        </w:rPr>
      </w:pPr>
      <w:r>
        <w:rPr>
          <w:rFonts w:ascii="仿宋_GB2312" w:hAnsi="宋体" w:eastAsia="仿宋_GB2312"/>
          <w:color w:val="auto"/>
          <w:sz w:val="32"/>
          <w:szCs w:val="32"/>
        </w:rPr>
        <w:t>本次评价认为，</w:t>
      </w:r>
      <w:r>
        <w:rPr>
          <w:rFonts w:hint="eastAsia" w:ascii="仿宋_GB2312" w:hAnsi="宋体" w:eastAsia="仿宋_GB2312"/>
          <w:color w:val="auto"/>
          <w:sz w:val="32"/>
          <w:szCs w:val="32"/>
          <w:lang w:val="en-US" w:eastAsia="zh-CN"/>
        </w:rPr>
        <w:t>本次合肥市第四期轨道交通建设规划</w:t>
      </w:r>
      <w:r>
        <w:rPr>
          <w:rFonts w:ascii="仿宋_GB2312" w:hAnsi="宋体" w:eastAsia="仿宋_GB2312"/>
          <w:color w:val="auto"/>
          <w:sz w:val="32"/>
          <w:szCs w:val="32"/>
        </w:rPr>
        <w:t>的实施，有利于促进</w:t>
      </w:r>
      <w:r>
        <w:rPr>
          <w:rFonts w:hint="eastAsia" w:ascii="仿宋_GB2312" w:hAnsi="宋体" w:eastAsia="仿宋_GB2312"/>
          <w:color w:val="auto"/>
          <w:sz w:val="32"/>
          <w:szCs w:val="32"/>
          <w:lang w:val="en-US" w:eastAsia="zh-CN"/>
        </w:rPr>
        <w:t>合肥市</w:t>
      </w:r>
      <w:r>
        <w:rPr>
          <w:rFonts w:hint="eastAsia" w:ascii="仿宋_GB2312" w:hAnsi="宋体" w:eastAsia="仿宋_GB2312"/>
          <w:color w:val="auto"/>
          <w:sz w:val="32"/>
          <w:szCs w:val="32"/>
        </w:rPr>
        <w:t>国土空间</w:t>
      </w:r>
      <w:r>
        <w:rPr>
          <w:rFonts w:ascii="仿宋_GB2312" w:hAnsi="宋体" w:eastAsia="仿宋_GB2312"/>
          <w:color w:val="auto"/>
          <w:sz w:val="32"/>
          <w:szCs w:val="32"/>
        </w:rPr>
        <w:t>规划的实现，对优化城市布局结构、节约资源和减少污染物排放、改善城市人居环境以及推动城市“公交优先”战略实施等方面具有积极的促进作用。</w:t>
      </w:r>
    </w:p>
    <w:p>
      <w:pPr>
        <w:ind w:firstLine="640"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rPr>
        <w:t>规划实施过程中主要产生噪声、振动、生态、水环境和电磁影响，轨道交通运输所产生的噪声、振动和污废水可以通过规划控制和工程措施得到有效控制。城市轨道交通的建设有利于可持续发展，有利于和谐与公平核心价值的实现，最终实现城市的</w:t>
      </w:r>
      <w:r>
        <w:rPr>
          <w:rFonts w:hint="eastAsia" w:ascii="仿宋_GB2312" w:hAnsi="宋体" w:eastAsia="仿宋_GB2312"/>
          <w:color w:val="auto"/>
          <w:sz w:val="32"/>
          <w:szCs w:val="32"/>
          <w:lang w:val="en-US" w:eastAsia="zh-CN"/>
        </w:rPr>
        <w:t>高质量</w:t>
      </w:r>
      <w:r>
        <w:rPr>
          <w:rFonts w:hint="eastAsia" w:ascii="仿宋_GB2312" w:hAnsi="宋体" w:eastAsia="仿宋_GB2312"/>
          <w:color w:val="auto"/>
          <w:sz w:val="32"/>
          <w:szCs w:val="32"/>
        </w:rPr>
        <w:t>发展。</w:t>
      </w:r>
    </w:p>
    <w:p>
      <w:pPr>
        <w:ind w:firstLine="640" w:firstLineChars="200"/>
        <w:rPr>
          <w:rFonts w:hint="eastAsia" w:ascii="仿宋_GB2312" w:hAnsi="宋体" w:eastAsia="仿宋_GB2312" w:cs="Times New Roman"/>
          <w:color w:val="auto"/>
          <w:sz w:val="32"/>
          <w:szCs w:val="32"/>
        </w:rPr>
      </w:pPr>
      <w:r>
        <w:rPr>
          <w:rFonts w:hint="eastAsia" w:ascii="仿宋_GB2312" w:hAnsi="宋体" w:eastAsia="仿宋_GB2312" w:cs="Times New Roman"/>
          <w:color w:val="auto"/>
          <w:sz w:val="32"/>
          <w:szCs w:val="32"/>
        </w:rPr>
        <w:t>在落实评价提出的措施建议后，从环境保护角度，本轮</w:t>
      </w:r>
      <w:r>
        <w:rPr>
          <w:rFonts w:hint="eastAsia" w:ascii="仿宋_GB2312" w:hAnsi="宋体" w:eastAsia="仿宋_GB2312" w:cs="Times New Roman"/>
          <w:color w:val="auto"/>
          <w:sz w:val="32"/>
          <w:szCs w:val="32"/>
          <w:lang w:val="en-US" w:eastAsia="zh-CN"/>
        </w:rPr>
        <w:t>合肥</w:t>
      </w:r>
      <w:r>
        <w:rPr>
          <w:rFonts w:hint="eastAsia" w:ascii="仿宋_GB2312" w:hAnsi="宋体" w:eastAsia="仿宋_GB2312" w:cs="Times New Roman"/>
          <w:color w:val="auto"/>
          <w:sz w:val="32"/>
          <w:szCs w:val="32"/>
        </w:rPr>
        <w:t>市轨道交通建设规划整体是可行的。</w:t>
      </w:r>
    </w:p>
    <w:p>
      <w:pPr>
        <w:rPr>
          <w:rFonts w:ascii="仿宋_GB2312" w:hAnsi="宋体" w:eastAsia="仿宋_GB2312"/>
          <w:color w:val="FF0000"/>
          <w:sz w:val="32"/>
          <w:szCs w:val="32"/>
        </w:rPr>
      </w:pPr>
    </w:p>
    <w:p>
      <w:pPr>
        <w:rPr>
          <w:color w:val="FF0000"/>
        </w:rPr>
      </w:pPr>
    </w:p>
    <w:sectPr>
      <w:headerReference r:id="rId3" w:type="default"/>
      <w:footerReference r:id="rId5" w:type="default"/>
      <w:headerReference r:id="rId4" w:type="even"/>
      <w:footerReference r:id="rId6" w:type="even"/>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right" w:y="86"/>
    </w:pPr>
    <w:r>
      <w:fldChar w:fldCharType="begin"/>
    </w:r>
    <w:r>
      <w:rPr>
        <w:rStyle w:val="19"/>
      </w:rPr>
      <w:instrText xml:space="preserve">PAGE  </w:instrText>
    </w:r>
    <w:r>
      <w:fldChar w:fldCharType="separate"/>
    </w:r>
    <w:r>
      <w:rPr>
        <w:rStyle w:val="19"/>
        <w:lang/>
      </w:rPr>
      <w:t>10</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86"/>
      <w:rPr>
        <w:rStyle w:val="19"/>
      </w:rPr>
    </w:pPr>
    <w:r>
      <w:fldChar w:fldCharType="begin"/>
    </w:r>
    <w:r>
      <w:rPr>
        <w:rStyle w:val="19"/>
      </w:rPr>
      <w:instrText xml:space="preserve">PAGE  </w:instrText>
    </w:r>
    <w:r>
      <w:fldChar w:fldCharType="separate"/>
    </w:r>
    <w:r>
      <w:rPr>
        <w:rStyle w:val="19"/>
        <w:lang/>
      </w:rPr>
      <w:t>30</w:t>
    </w:r>
    <w:r>
      <w:fldChar w:fldCharType="end"/>
    </w:r>
  </w:p>
  <w:p>
    <w:pPr>
      <w:pStyle w:val="13"/>
      <w:pBdr>
        <w:top w:val="single" w:color="5F5F5F" w:sz="6" w:space="1"/>
      </w:pBdr>
      <w:snapToGrid/>
      <w:jc w:val="right"/>
    </w:pPr>
    <w:r>
      <w:drawing>
        <wp:inline distT="0" distB="0" distL="114300" distR="114300">
          <wp:extent cx="2421255" cy="198120"/>
          <wp:effectExtent l="0" t="0" r="17145" b="11430"/>
          <wp:docPr id="1" name="图片 1" descr="新院徵-黑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新院徵-黑白"/>
                  <pic:cNvPicPr>
                    <a:picLocks noChangeAspect="1"/>
                  </pic:cNvPicPr>
                </pic:nvPicPr>
                <pic:blipFill>
                  <a:blip r:embed="rId1"/>
                  <a:stretch>
                    <a:fillRect/>
                  </a:stretch>
                </pic:blipFill>
                <pic:spPr>
                  <a:xfrm>
                    <a:off x="0" y="0"/>
                    <a:ext cx="2421255" cy="198120"/>
                  </a:xfrm>
                  <a:prstGeom prst="rect">
                    <a:avLst/>
                  </a:prstGeom>
                  <a:noFill/>
                  <a:ln>
                    <a:noFill/>
                  </a:ln>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w:pict>
        <v:shape id="PowerPlusWaterMarkObject14936" o:spid="_x0000_s2049" o:spt="136" type="#_x0000_t136" style="position:absolute;left:0pt;height:105.85pt;width:481.4pt;mso-position-horizontal:center;mso-position-horizontal-relative:margin;mso-position-vertical:center;mso-position-vertical-relative:margin;rotation:-2949120f;z-index:-251658240;mso-width-relative:page;mso-height-relative:page;" fillcolor="#C0C0C0" filled="t" stroked="f" coordsize="21600,21600" adj="10800">
          <v:path/>
          <v:fill on="t" opacity="32768f" focussize="0,0"/>
          <v:stroke on="f"/>
          <v:imagedata o:title=""/>
          <o:lock v:ext="edit" aspectratio="t"/>
          <v:textpath on="t" fitshape="t" fitpath="t" trim="t" xscale="f" string="仅为公示使用" style="font-family:微软雅黑;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single" w:color="5F5F5F" w:sz="6" w:space="1"/>
      </w:pBdr>
      <w:spacing w:before="72" w:beforeLines="30"/>
      <w:jc w:val="both"/>
      <w:rPr>
        <w:rFonts w:hint="eastAsia"/>
        <w:color w:val="5F5F5F"/>
      </w:rPr>
    </w:pPr>
    <w:r>
      <w:rPr>
        <w:rFonts w:ascii="黑体" w:hAnsi="宋体" w:eastAsia="黑体"/>
        <w:color w:val="5F5F5F"/>
        <w:sz w:val="22"/>
        <w:szCs w:val="22"/>
        <w:lang/>
      </w:rPr>
      <w:t>环境影响报告书</w:t>
    </w:r>
    <w:r>
      <w:rPr>
        <w:rFonts w:hint="eastAsia" w:ascii="黑体" w:hAnsi="宋体" w:eastAsia="黑体"/>
        <w:color w:val="5F5F5F"/>
        <w:sz w:val="22"/>
        <w:szCs w:val="22"/>
        <w:lang/>
      </w:rPr>
      <w:t>（征求意见稿）</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D9417D"/>
    <w:multiLevelType w:val="multilevel"/>
    <w:tmpl w:val="4DD9417D"/>
    <w:lvl w:ilvl="0" w:tentative="0">
      <w:start w:val="1"/>
      <w:numFmt w:val="decimal"/>
      <w:lvlText w:val="%1."/>
      <w:lvlJc w:val="left"/>
      <w:pPr>
        <w:tabs>
          <w:tab w:val="left" w:pos="3365"/>
        </w:tabs>
        <w:ind w:left="3365" w:hanging="425"/>
      </w:pPr>
      <w:rPr>
        <w:rFonts w:hint="default" w:ascii="Times New Roman" w:hAnsi="Times New Roman" w:eastAsia="宋体"/>
        <w:color w:val="auto"/>
        <w:sz w:val="28"/>
        <w:vertAlign w:val="baseline"/>
      </w:rPr>
    </w:lvl>
    <w:lvl w:ilvl="1" w:tentative="0">
      <w:start w:val="1"/>
      <w:numFmt w:val="decimal"/>
      <w:lvlText w:val="%1.%2."/>
      <w:lvlJc w:val="left"/>
      <w:pPr>
        <w:tabs>
          <w:tab w:val="left" w:pos="567"/>
        </w:tabs>
        <w:ind w:left="567" w:hanging="567"/>
      </w:pPr>
      <w:rPr>
        <w:rFonts w:hint="eastAsia" w:ascii="Times New Roman" w:hAnsi="Times New Roman" w:eastAsia="宋体"/>
        <w:sz w:val="28"/>
        <w:szCs w:val="28"/>
      </w:rPr>
    </w:lvl>
    <w:lvl w:ilvl="2" w:tentative="0">
      <w:start w:val="1"/>
      <w:numFmt w:val="decimal"/>
      <w:lvlText w:val="%1.%2.%3."/>
      <w:lvlJc w:val="left"/>
      <w:pPr>
        <w:tabs>
          <w:tab w:val="left" w:pos="2179"/>
        </w:tabs>
        <w:ind w:left="2179" w:hanging="709"/>
      </w:pPr>
      <w:rPr>
        <w:rFonts w:hint="eastAsia" w:ascii="Times New Roman" w:hAnsi="Times New Roman"/>
        <w:b/>
      </w:rPr>
    </w:lvl>
    <w:lvl w:ilvl="3" w:tentative="0">
      <w:start w:val="1"/>
      <w:numFmt w:val="decimal"/>
      <w:pStyle w:val="23"/>
      <w:lvlText w:val="%1.%2.%3.%4."/>
      <w:lvlJc w:val="left"/>
      <w:pPr>
        <w:tabs>
          <w:tab w:val="left" w:pos="851"/>
        </w:tabs>
        <w:ind w:left="851" w:hanging="851"/>
      </w:pPr>
      <w:rPr>
        <w:rFonts w:hint="default" w:ascii="Times New Roman" w:hAnsi="Times New Roman" w:cs="Times New Roman"/>
        <w:b w:val="0"/>
        <w:sz w:val="24"/>
        <w:szCs w:val="24"/>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529C6B53"/>
    <w:multiLevelType w:val="multilevel"/>
    <w:tmpl w:val="529C6B53"/>
    <w:lvl w:ilvl="0" w:tentative="0">
      <w:start w:val="3"/>
      <w:numFmt w:val="japaneseCounting"/>
      <w:lvlText w:val="%1、"/>
      <w:lvlJc w:val="left"/>
      <w:pPr>
        <w:ind w:left="1347" w:hanging="720"/>
      </w:pPr>
      <w:rPr>
        <w:rFonts w:hint="default"/>
      </w:rPr>
    </w:lvl>
    <w:lvl w:ilvl="1" w:tentative="0">
      <w:start w:val="1"/>
      <w:numFmt w:val="lowerLetter"/>
      <w:lvlText w:val="%2)"/>
      <w:lvlJc w:val="left"/>
      <w:pPr>
        <w:ind w:left="1467" w:hanging="420"/>
      </w:pPr>
    </w:lvl>
    <w:lvl w:ilvl="2" w:tentative="0">
      <w:start w:val="1"/>
      <w:numFmt w:val="lowerRoman"/>
      <w:lvlText w:val="%3."/>
      <w:lvlJc w:val="right"/>
      <w:pPr>
        <w:ind w:left="1887" w:hanging="420"/>
      </w:pPr>
    </w:lvl>
    <w:lvl w:ilvl="3" w:tentative="0">
      <w:start w:val="1"/>
      <w:numFmt w:val="decimal"/>
      <w:lvlText w:val="%4."/>
      <w:lvlJc w:val="left"/>
      <w:pPr>
        <w:ind w:left="2307" w:hanging="420"/>
      </w:pPr>
    </w:lvl>
    <w:lvl w:ilvl="4" w:tentative="0">
      <w:start w:val="1"/>
      <w:numFmt w:val="lowerLetter"/>
      <w:lvlText w:val="%5)"/>
      <w:lvlJc w:val="left"/>
      <w:pPr>
        <w:ind w:left="2727" w:hanging="420"/>
      </w:pPr>
    </w:lvl>
    <w:lvl w:ilvl="5" w:tentative="0">
      <w:start w:val="1"/>
      <w:numFmt w:val="lowerRoman"/>
      <w:lvlText w:val="%6."/>
      <w:lvlJc w:val="right"/>
      <w:pPr>
        <w:ind w:left="3147" w:hanging="420"/>
      </w:pPr>
    </w:lvl>
    <w:lvl w:ilvl="6" w:tentative="0">
      <w:start w:val="1"/>
      <w:numFmt w:val="decimal"/>
      <w:lvlText w:val="%7."/>
      <w:lvlJc w:val="left"/>
      <w:pPr>
        <w:ind w:left="3567" w:hanging="420"/>
      </w:pPr>
    </w:lvl>
    <w:lvl w:ilvl="7" w:tentative="0">
      <w:start w:val="1"/>
      <w:numFmt w:val="lowerLetter"/>
      <w:lvlText w:val="%8)"/>
      <w:lvlJc w:val="left"/>
      <w:pPr>
        <w:ind w:left="3987" w:hanging="420"/>
      </w:pPr>
    </w:lvl>
    <w:lvl w:ilvl="8" w:tentative="0">
      <w:start w:val="1"/>
      <w:numFmt w:val="lowerRoman"/>
      <w:lvlText w:val="%9."/>
      <w:lvlJc w:val="right"/>
      <w:pPr>
        <w:ind w:left="4407"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1MmJmYWFkYTkwZWNlN2RiYWI3YTQ5NDNhYjA3NjEifQ=="/>
  </w:docVars>
  <w:rsids>
    <w:rsidRoot w:val="00084EE6"/>
    <w:rsid w:val="00010599"/>
    <w:rsid w:val="00012AA3"/>
    <w:rsid w:val="00033467"/>
    <w:rsid w:val="00043F4E"/>
    <w:rsid w:val="0004608F"/>
    <w:rsid w:val="00060E2D"/>
    <w:rsid w:val="00067989"/>
    <w:rsid w:val="00084EE6"/>
    <w:rsid w:val="000C1893"/>
    <w:rsid w:val="000C743A"/>
    <w:rsid w:val="000F26F2"/>
    <w:rsid w:val="000F65AA"/>
    <w:rsid w:val="00102A8E"/>
    <w:rsid w:val="00104D07"/>
    <w:rsid w:val="001072DA"/>
    <w:rsid w:val="00123D88"/>
    <w:rsid w:val="001316EE"/>
    <w:rsid w:val="00131BE9"/>
    <w:rsid w:val="00160B3D"/>
    <w:rsid w:val="00166779"/>
    <w:rsid w:val="00166F34"/>
    <w:rsid w:val="001A42C1"/>
    <w:rsid w:val="001B3838"/>
    <w:rsid w:val="001E45CE"/>
    <w:rsid w:val="002120B5"/>
    <w:rsid w:val="00215524"/>
    <w:rsid w:val="00215CC7"/>
    <w:rsid w:val="00216F30"/>
    <w:rsid w:val="00225304"/>
    <w:rsid w:val="0023165B"/>
    <w:rsid w:val="0024030F"/>
    <w:rsid w:val="002624CF"/>
    <w:rsid w:val="002B04D2"/>
    <w:rsid w:val="002C1AD2"/>
    <w:rsid w:val="002D38A9"/>
    <w:rsid w:val="002F5781"/>
    <w:rsid w:val="00300BD3"/>
    <w:rsid w:val="00322F85"/>
    <w:rsid w:val="003309A0"/>
    <w:rsid w:val="00341B55"/>
    <w:rsid w:val="0034338C"/>
    <w:rsid w:val="003442DE"/>
    <w:rsid w:val="00360420"/>
    <w:rsid w:val="00372A67"/>
    <w:rsid w:val="00380E48"/>
    <w:rsid w:val="0039706B"/>
    <w:rsid w:val="003A5C2A"/>
    <w:rsid w:val="003B5C76"/>
    <w:rsid w:val="003B5D5D"/>
    <w:rsid w:val="003F1286"/>
    <w:rsid w:val="0041185A"/>
    <w:rsid w:val="00430861"/>
    <w:rsid w:val="00435BAD"/>
    <w:rsid w:val="00491DD2"/>
    <w:rsid w:val="004C4A51"/>
    <w:rsid w:val="004D11AE"/>
    <w:rsid w:val="00501791"/>
    <w:rsid w:val="0050280C"/>
    <w:rsid w:val="00516AB2"/>
    <w:rsid w:val="00522893"/>
    <w:rsid w:val="00525F12"/>
    <w:rsid w:val="005404F3"/>
    <w:rsid w:val="0055231A"/>
    <w:rsid w:val="00553DD8"/>
    <w:rsid w:val="005658FF"/>
    <w:rsid w:val="0057093D"/>
    <w:rsid w:val="00571448"/>
    <w:rsid w:val="005776CE"/>
    <w:rsid w:val="005B4ABC"/>
    <w:rsid w:val="005D3B81"/>
    <w:rsid w:val="006062F4"/>
    <w:rsid w:val="00610E52"/>
    <w:rsid w:val="006129BB"/>
    <w:rsid w:val="006220F7"/>
    <w:rsid w:val="00624AC5"/>
    <w:rsid w:val="00632E79"/>
    <w:rsid w:val="006376E8"/>
    <w:rsid w:val="00646450"/>
    <w:rsid w:val="00665AD2"/>
    <w:rsid w:val="006A0E89"/>
    <w:rsid w:val="006B40E6"/>
    <w:rsid w:val="006C68DB"/>
    <w:rsid w:val="006D0CA0"/>
    <w:rsid w:val="006D1E98"/>
    <w:rsid w:val="00751AED"/>
    <w:rsid w:val="007555A2"/>
    <w:rsid w:val="00767316"/>
    <w:rsid w:val="007925CE"/>
    <w:rsid w:val="00794168"/>
    <w:rsid w:val="007B2ED9"/>
    <w:rsid w:val="007B3DB1"/>
    <w:rsid w:val="007C2AC9"/>
    <w:rsid w:val="007C4AFC"/>
    <w:rsid w:val="007C6581"/>
    <w:rsid w:val="007D319D"/>
    <w:rsid w:val="007D4A3E"/>
    <w:rsid w:val="007E0DED"/>
    <w:rsid w:val="007E1447"/>
    <w:rsid w:val="007F0E65"/>
    <w:rsid w:val="007F6EA3"/>
    <w:rsid w:val="008154A3"/>
    <w:rsid w:val="00831FD4"/>
    <w:rsid w:val="00865663"/>
    <w:rsid w:val="00881416"/>
    <w:rsid w:val="00892831"/>
    <w:rsid w:val="00892B9D"/>
    <w:rsid w:val="00894277"/>
    <w:rsid w:val="008C2688"/>
    <w:rsid w:val="008E126A"/>
    <w:rsid w:val="00905B40"/>
    <w:rsid w:val="009141A9"/>
    <w:rsid w:val="00920660"/>
    <w:rsid w:val="009269FD"/>
    <w:rsid w:val="009430D2"/>
    <w:rsid w:val="00962E38"/>
    <w:rsid w:val="00995563"/>
    <w:rsid w:val="009C2DE9"/>
    <w:rsid w:val="009F1B2E"/>
    <w:rsid w:val="009F63D2"/>
    <w:rsid w:val="009F6FA4"/>
    <w:rsid w:val="00A259F0"/>
    <w:rsid w:val="00A43A35"/>
    <w:rsid w:val="00A46310"/>
    <w:rsid w:val="00A80697"/>
    <w:rsid w:val="00A91082"/>
    <w:rsid w:val="00A96660"/>
    <w:rsid w:val="00AC4B3B"/>
    <w:rsid w:val="00B371E9"/>
    <w:rsid w:val="00B42B40"/>
    <w:rsid w:val="00B631EC"/>
    <w:rsid w:val="00BB7C32"/>
    <w:rsid w:val="00BD215D"/>
    <w:rsid w:val="00BD5BD6"/>
    <w:rsid w:val="00BD6836"/>
    <w:rsid w:val="00BE4A79"/>
    <w:rsid w:val="00BF0798"/>
    <w:rsid w:val="00BF2AA4"/>
    <w:rsid w:val="00C03211"/>
    <w:rsid w:val="00C07D32"/>
    <w:rsid w:val="00C163C2"/>
    <w:rsid w:val="00C227F6"/>
    <w:rsid w:val="00C33DA2"/>
    <w:rsid w:val="00C44521"/>
    <w:rsid w:val="00C447A4"/>
    <w:rsid w:val="00C45AF8"/>
    <w:rsid w:val="00C52663"/>
    <w:rsid w:val="00C56B14"/>
    <w:rsid w:val="00C75EA9"/>
    <w:rsid w:val="00C818A5"/>
    <w:rsid w:val="00C84B28"/>
    <w:rsid w:val="00CC054E"/>
    <w:rsid w:val="00CC4F9D"/>
    <w:rsid w:val="00CD662A"/>
    <w:rsid w:val="00D05611"/>
    <w:rsid w:val="00D133AB"/>
    <w:rsid w:val="00D30F28"/>
    <w:rsid w:val="00D32E27"/>
    <w:rsid w:val="00D8056F"/>
    <w:rsid w:val="00D93520"/>
    <w:rsid w:val="00E25354"/>
    <w:rsid w:val="00E25FFA"/>
    <w:rsid w:val="00E4454B"/>
    <w:rsid w:val="00E47429"/>
    <w:rsid w:val="00E4774B"/>
    <w:rsid w:val="00E57094"/>
    <w:rsid w:val="00E67928"/>
    <w:rsid w:val="00E67B3B"/>
    <w:rsid w:val="00E71D9F"/>
    <w:rsid w:val="00E72CDD"/>
    <w:rsid w:val="00E80479"/>
    <w:rsid w:val="00EA2BAA"/>
    <w:rsid w:val="00EC2625"/>
    <w:rsid w:val="00EE162C"/>
    <w:rsid w:val="00F06AE5"/>
    <w:rsid w:val="00F24486"/>
    <w:rsid w:val="00F3636D"/>
    <w:rsid w:val="00F45A90"/>
    <w:rsid w:val="00F46677"/>
    <w:rsid w:val="00F634B1"/>
    <w:rsid w:val="00F73698"/>
    <w:rsid w:val="00F879AD"/>
    <w:rsid w:val="00FC081E"/>
    <w:rsid w:val="04D6109E"/>
    <w:rsid w:val="05CA7DC5"/>
    <w:rsid w:val="07553A5E"/>
    <w:rsid w:val="07BE3F61"/>
    <w:rsid w:val="08ED26FA"/>
    <w:rsid w:val="09A42E7E"/>
    <w:rsid w:val="0A1426D2"/>
    <w:rsid w:val="0AF2362C"/>
    <w:rsid w:val="0B3B0687"/>
    <w:rsid w:val="0D4D3F76"/>
    <w:rsid w:val="0E640EAD"/>
    <w:rsid w:val="0ECB12FB"/>
    <w:rsid w:val="11662A84"/>
    <w:rsid w:val="11D20C6D"/>
    <w:rsid w:val="13121D38"/>
    <w:rsid w:val="15AA0402"/>
    <w:rsid w:val="18230B32"/>
    <w:rsid w:val="191766A8"/>
    <w:rsid w:val="195E3A5F"/>
    <w:rsid w:val="1C845520"/>
    <w:rsid w:val="1E4807E8"/>
    <w:rsid w:val="21113F6B"/>
    <w:rsid w:val="22E66CB4"/>
    <w:rsid w:val="23B61D46"/>
    <w:rsid w:val="25F27A11"/>
    <w:rsid w:val="27223C9C"/>
    <w:rsid w:val="2742651B"/>
    <w:rsid w:val="27506CD9"/>
    <w:rsid w:val="29054BE9"/>
    <w:rsid w:val="2BC509B1"/>
    <w:rsid w:val="2D234720"/>
    <w:rsid w:val="2D3F2F84"/>
    <w:rsid w:val="2D4E550C"/>
    <w:rsid w:val="2DA729F1"/>
    <w:rsid w:val="30A1627C"/>
    <w:rsid w:val="32D673E6"/>
    <w:rsid w:val="33E05315"/>
    <w:rsid w:val="34513416"/>
    <w:rsid w:val="34E7289C"/>
    <w:rsid w:val="38055089"/>
    <w:rsid w:val="398048E2"/>
    <w:rsid w:val="3B6A4CEA"/>
    <w:rsid w:val="3F487664"/>
    <w:rsid w:val="415A003A"/>
    <w:rsid w:val="45233330"/>
    <w:rsid w:val="48574532"/>
    <w:rsid w:val="4AEB42B2"/>
    <w:rsid w:val="4C8A7144"/>
    <w:rsid w:val="511E6314"/>
    <w:rsid w:val="52C37DE3"/>
    <w:rsid w:val="5325656E"/>
    <w:rsid w:val="56577A36"/>
    <w:rsid w:val="568203D0"/>
    <w:rsid w:val="56B02402"/>
    <w:rsid w:val="59236B2E"/>
    <w:rsid w:val="595867E4"/>
    <w:rsid w:val="5A6840E1"/>
    <w:rsid w:val="5AD53BC8"/>
    <w:rsid w:val="5CA75626"/>
    <w:rsid w:val="5E8B4A55"/>
    <w:rsid w:val="61C655EA"/>
    <w:rsid w:val="61D54AD6"/>
    <w:rsid w:val="649628A5"/>
    <w:rsid w:val="65296566"/>
    <w:rsid w:val="66207E44"/>
    <w:rsid w:val="6655487D"/>
    <w:rsid w:val="670F7544"/>
    <w:rsid w:val="67E826D8"/>
    <w:rsid w:val="68830AB1"/>
    <w:rsid w:val="68BF1D5F"/>
    <w:rsid w:val="697A21DE"/>
    <w:rsid w:val="69D36D49"/>
    <w:rsid w:val="6AA6231B"/>
    <w:rsid w:val="6B5C2BCC"/>
    <w:rsid w:val="6EDC0D44"/>
    <w:rsid w:val="70654FF8"/>
    <w:rsid w:val="729B603C"/>
    <w:rsid w:val="72EC3EE0"/>
    <w:rsid w:val="73DF3383"/>
    <w:rsid w:val="74F83F3E"/>
    <w:rsid w:val="75C40638"/>
    <w:rsid w:val="762448E9"/>
    <w:rsid w:val="764439AD"/>
    <w:rsid w:val="76CF2DE4"/>
    <w:rsid w:val="79391256"/>
    <w:rsid w:val="7A6A0EF6"/>
    <w:rsid w:val="7B1C4268"/>
    <w:rsid w:val="7FAF4F6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qFormat="1" w:unhideWhenUsed="0" w:uiPriority="34" w:semiHidden="0" w:name="List Paragraph"/>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qFormat/>
    <w:uiPriority w:val="0"/>
    <w:pPr>
      <w:widowControl w:val="0"/>
      <w:jc w:val="both"/>
    </w:pPr>
    <w:rPr>
      <w:kern w:val="2"/>
      <w:sz w:val="24"/>
      <w:szCs w:val="24"/>
      <w:lang w:val="en-US" w:eastAsia="zh-CN" w:bidi="ar-SA"/>
    </w:rPr>
  </w:style>
  <w:style w:type="paragraph" w:styleId="2">
    <w:name w:val="heading 1"/>
    <w:basedOn w:val="1"/>
    <w:next w:val="1"/>
    <w:link w:val="45"/>
    <w:qFormat/>
    <w:uiPriority w:val="0"/>
    <w:pPr>
      <w:keepNext/>
      <w:keepLines/>
      <w:spacing w:before="340" w:after="330" w:line="576" w:lineRule="auto"/>
      <w:outlineLvl w:val="0"/>
    </w:pPr>
    <w:rPr>
      <w:b/>
      <w:kern w:val="44"/>
      <w:sz w:val="44"/>
      <w:szCs w:val="20"/>
    </w:rPr>
  </w:style>
  <w:style w:type="paragraph" w:styleId="3">
    <w:name w:val="heading 2"/>
    <w:basedOn w:val="1"/>
    <w:next w:val="1"/>
    <w:link w:val="35"/>
    <w:qFormat/>
    <w:uiPriority w:val="0"/>
    <w:pPr>
      <w:keepNext/>
      <w:keepLines/>
      <w:spacing w:before="260" w:after="260" w:line="413" w:lineRule="auto"/>
      <w:outlineLvl w:val="1"/>
    </w:pPr>
    <w:rPr>
      <w:rFonts w:ascii="Arial" w:hAnsi="Arial" w:eastAsia="黑体"/>
      <w:b/>
      <w:sz w:val="32"/>
      <w:szCs w:val="20"/>
    </w:rPr>
  </w:style>
  <w:style w:type="paragraph" w:styleId="4">
    <w:name w:val="heading 3"/>
    <w:basedOn w:val="1"/>
    <w:next w:val="1"/>
    <w:link w:val="44"/>
    <w:qFormat/>
    <w:uiPriority w:val="0"/>
    <w:pPr>
      <w:keepNext/>
      <w:keepLines/>
      <w:spacing w:before="260" w:after="260" w:line="413" w:lineRule="auto"/>
      <w:outlineLvl w:val="2"/>
    </w:pPr>
    <w:rPr>
      <w:b/>
      <w:sz w:val="32"/>
      <w:szCs w:val="20"/>
    </w:rPr>
  </w:style>
  <w:style w:type="paragraph" w:styleId="5">
    <w:name w:val="heading 4"/>
    <w:basedOn w:val="1"/>
    <w:next w:val="1"/>
    <w:link w:val="48"/>
    <w:qFormat/>
    <w:uiPriority w:val="0"/>
    <w:pPr>
      <w:keepNext/>
      <w:keepLines/>
      <w:tabs>
        <w:tab w:val="left" w:pos="864"/>
      </w:tabs>
      <w:spacing w:before="280" w:after="290" w:line="372" w:lineRule="auto"/>
      <w:ind w:left="864" w:hanging="864"/>
      <w:outlineLvl w:val="3"/>
    </w:pPr>
    <w:rPr>
      <w:rFonts w:ascii="Arial" w:hAnsi="Arial" w:eastAsia="黑体"/>
      <w:b/>
      <w:sz w:val="28"/>
      <w:szCs w:val="20"/>
    </w:rPr>
  </w:style>
  <w:style w:type="paragraph" w:styleId="6">
    <w:name w:val="heading 5"/>
    <w:basedOn w:val="1"/>
    <w:next w:val="1"/>
    <w:link w:val="40"/>
    <w:qFormat/>
    <w:uiPriority w:val="0"/>
    <w:pPr>
      <w:keepNext/>
      <w:keepLines/>
      <w:tabs>
        <w:tab w:val="left" w:pos="1008"/>
      </w:tabs>
      <w:spacing w:before="280" w:after="290" w:line="372" w:lineRule="auto"/>
      <w:ind w:left="1008" w:hanging="1008"/>
      <w:outlineLvl w:val="4"/>
    </w:pPr>
    <w:rPr>
      <w:b/>
      <w:sz w:val="28"/>
      <w:szCs w:val="20"/>
    </w:rPr>
  </w:style>
  <w:style w:type="paragraph" w:styleId="7">
    <w:name w:val="heading 6"/>
    <w:basedOn w:val="1"/>
    <w:next w:val="1"/>
    <w:link w:val="34"/>
    <w:qFormat/>
    <w:uiPriority w:val="0"/>
    <w:pPr>
      <w:keepNext/>
      <w:keepLines/>
      <w:tabs>
        <w:tab w:val="left" w:pos="1152"/>
      </w:tabs>
      <w:spacing w:before="240" w:after="64" w:line="317" w:lineRule="auto"/>
      <w:ind w:left="1152" w:hanging="1152"/>
      <w:outlineLvl w:val="5"/>
    </w:pPr>
    <w:rPr>
      <w:rFonts w:ascii="Arial" w:hAnsi="Arial" w:eastAsia="黑体"/>
      <w:b/>
      <w:szCs w:val="20"/>
    </w:rPr>
  </w:style>
  <w:style w:type="paragraph" w:styleId="8">
    <w:name w:val="heading 7"/>
    <w:basedOn w:val="1"/>
    <w:next w:val="1"/>
    <w:link w:val="39"/>
    <w:qFormat/>
    <w:uiPriority w:val="0"/>
    <w:pPr>
      <w:keepNext/>
      <w:keepLines/>
      <w:tabs>
        <w:tab w:val="left" w:pos="1296"/>
      </w:tabs>
      <w:spacing w:before="240" w:after="64" w:line="317" w:lineRule="auto"/>
      <w:ind w:left="1296" w:hanging="1296"/>
      <w:outlineLvl w:val="6"/>
    </w:pPr>
    <w:rPr>
      <w:b/>
      <w:szCs w:val="20"/>
    </w:rPr>
  </w:style>
  <w:style w:type="paragraph" w:styleId="9">
    <w:name w:val="heading 8"/>
    <w:basedOn w:val="1"/>
    <w:next w:val="1"/>
    <w:link w:val="49"/>
    <w:qFormat/>
    <w:uiPriority w:val="0"/>
    <w:pPr>
      <w:keepNext/>
      <w:keepLines/>
      <w:tabs>
        <w:tab w:val="left" w:pos="1440"/>
      </w:tabs>
      <w:spacing w:before="240" w:after="64" w:line="317" w:lineRule="auto"/>
      <w:ind w:left="1440" w:hanging="1440"/>
      <w:outlineLvl w:val="7"/>
    </w:pPr>
    <w:rPr>
      <w:rFonts w:ascii="Arial" w:hAnsi="Arial" w:eastAsia="黑体"/>
      <w:szCs w:val="20"/>
    </w:rPr>
  </w:style>
  <w:style w:type="paragraph" w:styleId="10">
    <w:name w:val="heading 9"/>
    <w:basedOn w:val="1"/>
    <w:next w:val="1"/>
    <w:link w:val="42"/>
    <w:qFormat/>
    <w:uiPriority w:val="0"/>
    <w:pPr>
      <w:keepNext/>
      <w:keepLines/>
      <w:tabs>
        <w:tab w:val="left" w:pos="1584"/>
      </w:tabs>
      <w:spacing w:before="240" w:after="64" w:line="317" w:lineRule="auto"/>
      <w:ind w:left="1584" w:hanging="1584"/>
      <w:outlineLvl w:val="8"/>
    </w:pPr>
    <w:rPr>
      <w:rFonts w:ascii="Arial" w:hAnsi="Arial" w:eastAsia="黑体"/>
      <w:szCs w:val="20"/>
    </w:rPr>
  </w:style>
  <w:style w:type="character" w:default="1" w:styleId="17">
    <w:name w:val="Default Paragraph Font"/>
    <w:unhideWhenUsed/>
    <w:uiPriority w:val="1"/>
  </w:style>
  <w:style w:type="table" w:default="1" w:styleId="15">
    <w:name w:val="Normal Table"/>
    <w:unhideWhenUsed/>
    <w:qFormat/>
    <w:uiPriority w:val="99"/>
    <w:tblPr>
      <w:tblStyle w:val="15"/>
      <w:tblCellMar>
        <w:top w:w="0" w:type="dxa"/>
        <w:left w:w="108" w:type="dxa"/>
        <w:bottom w:w="0" w:type="dxa"/>
        <w:right w:w="108" w:type="dxa"/>
      </w:tblCellMar>
    </w:tblPr>
  </w:style>
  <w:style w:type="paragraph" w:styleId="11">
    <w:name w:val="Body Text"/>
    <w:basedOn w:val="1"/>
    <w:link w:val="32"/>
    <w:uiPriority w:val="0"/>
    <w:pPr>
      <w:ind w:firstLine="200" w:firstLineChars="200"/>
    </w:pPr>
    <w:rPr>
      <w:sz w:val="28"/>
    </w:rPr>
  </w:style>
  <w:style w:type="paragraph" w:styleId="12">
    <w:name w:val="Balloon Text"/>
    <w:basedOn w:val="1"/>
    <w:link w:val="30"/>
    <w:unhideWhenUsed/>
    <w:uiPriority w:val="99"/>
    <w:rPr>
      <w:sz w:val="18"/>
      <w:szCs w:val="18"/>
    </w:rPr>
  </w:style>
  <w:style w:type="paragraph" w:styleId="13">
    <w:name w:val="footer"/>
    <w:basedOn w:val="1"/>
    <w:link w:val="38"/>
    <w:unhideWhenUsed/>
    <w:uiPriority w:val="99"/>
    <w:pPr>
      <w:tabs>
        <w:tab w:val="center" w:pos="4153"/>
        <w:tab w:val="right" w:pos="8306"/>
      </w:tabs>
      <w:snapToGrid w:val="0"/>
      <w:jc w:val="left"/>
    </w:pPr>
    <w:rPr>
      <w:sz w:val="18"/>
      <w:szCs w:val="18"/>
    </w:rPr>
  </w:style>
  <w:style w:type="paragraph" w:styleId="14">
    <w:name w:val="header"/>
    <w:basedOn w:val="1"/>
    <w:link w:val="47"/>
    <w:unhideWhenUsed/>
    <w:uiPriority w:val="99"/>
    <w:pPr>
      <w:pBdr>
        <w:bottom w:val="single" w:color="auto" w:sz="6" w:space="1"/>
      </w:pBdr>
      <w:tabs>
        <w:tab w:val="center" w:pos="4153"/>
        <w:tab w:val="right" w:pos="8306"/>
      </w:tabs>
      <w:snapToGrid w:val="0"/>
      <w:jc w:val="center"/>
    </w:pPr>
    <w:rPr>
      <w:sz w:val="18"/>
      <w:szCs w:val="18"/>
    </w:rPr>
  </w:style>
  <w:style w:type="table" w:styleId="16">
    <w:name w:val="Table Grid"/>
    <w:basedOn w:val="15"/>
    <w:qFormat/>
    <w:uiPriority w:val="39"/>
    <w:tblPr>
      <w:tblStyle w:val="1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qFormat/>
    <w:uiPriority w:val="0"/>
    <w:rPr>
      <w:b/>
    </w:rPr>
  </w:style>
  <w:style w:type="character" w:styleId="19">
    <w:name w:val="page number"/>
    <w:basedOn w:val="17"/>
    <w:uiPriority w:val="0"/>
  </w:style>
  <w:style w:type="character" w:styleId="20">
    <w:name w:val="Hyperlink"/>
    <w:uiPriority w:val="0"/>
    <w:rPr>
      <w:color w:val="0000FF"/>
      <w:u w:val="single"/>
    </w:rPr>
  </w:style>
  <w:style w:type="character" w:styleId="21">
    <w:name w:val="annotation reference"/>
    <w:semiHidden/>
    <w:uiPriority w:val="0"/>
    <w:rPr>
      <w:sz w:val="21"/>
      <w:szCs w:val="21"/>
    </w:rPr>
  </w:style>
  <w:style w:type="paragraph" w:customStyle="1" w:styleId="22">
    <w:name w:val="正文1"/>
    <w:basedOn w:val="1"/>
    <w:uiPriority w:val="0"/>
    <w:pPr>
      <w:widowControl/>
      <w:adjustRightInd w:val="0"/>
      <w:snapToGrid w:val="0"/>
      <w:spacing w:before="20" w:beforeLines="20" w:after="20" w:afterLines="20" w:line="360" w:lineRule="atLeast"/>
      <w:ind w:firstLine="200" w:firstLineChars="200"/>
      <w:jc w:val="left"/>
    </w:pPr>
    <w:rPr>
      <w:rFonts w:ascii="宋体" w:hAnsi="宋体" w:cs="宋体"/>
      <w:kern w:val="0"/>
    </w:rPr>
  </w:style>
  <w:style w:type="paragraph" w:customStyle="1" w:styleId="23">
    <w:name w:val="四级标题格式"/>
    <w:basedOn w:val="5"/>
    <w:qFormat/>
    <w:uiPriority w:val="0"/>
    <w:pPr>
      <w:keepNext w:val="0"/>
      <w:keepLines w:val="0"/>
      <w:numPr>
        <w:ilvl w:val="3"/>
        <w:numId w:val="1"/>
      </w:numPr>
      <w:tabs>
        <w:tab w:val="left" w:pos="1134"/>
      </w:tabs>
      <w:adjustRightInd w:val="0"/>
      <w:snapToGrid w:val="0"/>
      <w:spacing w:beforeLines="50" w:afterLines="50" w:line="400" w:lineRule="exact"/>
    </w:pPr>
    <w:rPr>
      <w:rFonts w:ascii="宋体" w:hAnsi="宋体" w:eastAsia="宋体"/>
      <w:bCs/>
      <w:sz w:val="24"/>
      <w:szCs w:val="24"/>
      <w:lang w:val="en-US" w:eastAsia="zh-CN"/>
    </w:rPr>
  </w:style>
  <w:style w:type="paragraph" w:styleId="24">
    <w:name w:val="List Paragraph"/>
    <w:basedOn w:val="1"/>
    <w:qFormat/>
    <w:uiPriority w:val="34"/>
    <w:pPr>
      <w:ind w:firstLine="420" w:firstLineChars="200"/>
    </w:pPr>
    <w:rPr>
      <w:rFonts w:ascii="Calibri" w:hAnsi="Calibri"/>
      <w:sz w:val="21"/>
      <w:szCs w:val="22"/>
    </w:rPr>
  </w:style>
  <w:style w:type="paragraph" w:customStyle="1" w:styleId="25">
    <w:name w:val=" 字元 字元"/>
    <w:basedOn w:val="1"/>
    <w:uiPriority w:val="0"/>
    <w:pPr>
      <w:ind w:firstLine="360" w:firstLineChars="150"/>
    </w:pPr>
    <w:rPr>
      <w:sz w:val="21"/>
    </w:rPr>
  </w:style>
  <w:style w:type="paragraph" w:customStyle="1" w:styleId="26">
    <w:name w:val="款下正文"/>
    <w:basedOn w:val="1"/>
    <w:link w:val="33"/>
    <w:uiPriority w:val="0"/>
    <w:pPr>
      <w:spacing w:beforeLines="50" w:afterLines="50" w:line="480" w:lineRule="exact"/>
      <w:ind w:firstLine="480" w:firstLineChars="200"/>
    </w:pPr>
    <w:rPr>
      <w:szCs w:val="28"/>
    </w:rPr>
  </w:style>
  <w:style w:type="paragraph" w:customStyle="1" w:styleId="27">
    <w:name w:val="表图名称"/>
    <w:basedOn w:val="1"/>
    <w:link w:val="37"/>
    <w:uiPriority w:val="0"/>
    <w:pPr>
      <w:spacing w:line="480" w:lineRule="exact"/>
      <w:jc w:val="center"/>
    </w:pPr>
    <w:rPr>
      <w:szCs w:val="28"/>
    </w:rPr>
  </w:style>
  <w:style w:type="paragraph" w:customStyle="1" w:styleId="28">
    <w:name w:val="正文段落格式"/>
    <w:basedOn w:val="1"/>
    <w:link w:val="43"/>
    <w:qFormat/>
    <w:uiPriority w:val="0"/>
    <w:pPr>
      <w:adjustRightInd w:val="0"/>
      <w:snapToGrid w:val="0"/>
      <w:ind w:firstLine="520" w:firstLineChars="200"/>
    </w:pPr>
    <w:rPr>
      <w:rFonts w:cs="宋体"/>
      <w:szCs w:val="20"/>
    </w:rPr>
  </w:style>
  <w:style w:type="paragraph" w:customStyle="1" w:styleId="29">
    <w:name w:val="表格"/>
    <w:basedOn w:val="1"/>
    <w:link w:val="41"/>
    <w:uiPriority w:val="0"/>
    <w:pPr>
      <w:jc w:val="center"/>
    </w:pPr>
    <w:rPr>
      <w:sz w:val="21"/>
      <w:szCs w:val="21"/>
    </w:rPr>
  </w:style>
  <w:style w:type="character" w:customStyle="1" w:styleId="30">
    <w:name w:val="批注框文本 字符"/>
    <w:link w:val="12"/>
    <w:semiHidden/>
    <w:uiPriority w:val="99"/>
    <w:rPr>
      <w:rFonts w:ascii="Times New Roman" w:hAnsi="Times New Roman"/>
      <w:kern w:val="2"/>
      <w:sz w:val="18"/>
      <w:szCs w:val="18"/>
    </w:rPr>
  </w:style>
  <w:style w:type="character" w:customStyle="1" w:styleId="31">
    <w:name w:val="标题 3 Char1"/>
    <w:uiPriority w:val="0"/>
    <w:rPr>
      <w:rFonts w:ascii="Times New Roman" w:hAnsi="Times New Roman"/>
      <w:b/>
      <w:kern w:val="2"/>
      <w:sz w:val="32"/>
    </w:rPr>
  </w:style>
  <w:style w:type="character" w:customStyle="1" w:styleId="32">
    <w:name w:val="正文文本 字符"/>
    <w:link w:val="11"/>
    <w:uiPriority w:val="0"/>
    <w:rPr>
      <w:rFonts w:eastAsia="宋体"/>
      <w:kern w:val="2"/>
      <w:sz w:val="28"/>
      <w:szCs w:val="24"/>
      <w:lang w:val="en-US" w:eastAsia="zh-CN" w:bidi="ar-SA"/>
    </w:rPr>
  </w:style>
  <w:style w:type="character" w:customStyle="1" w:styleId="33">
    <w:name w:val="款下正文 Char"/>
    <w:link w:val="26"/>
    <w:uiPriority w:val="0"/>
    <w:rPr>
      <w:rFonts w:ascii="Times New Roman" w:hAnsi="Times New Roman"/>
      <w:kern w:val="2"/>
      <w:sz w:val="24"/>
      <w:szCs w:val="28"/>
    </w:rPr>
  </w:style>
  <w:style w:type="character" w:customStyle="1" w:styleId="34">
    <w:name w:val="标题 6 字符"/>
    <w:link w:val="7"/>
    <w:uiPriority w:val="0"/>
    <w:rPr>
      <w:rFonts w:ascii="Arial" w:hAnsi="Arial" w:eastAsia="黑体"/>
      <w:b/>
      <w:kern w:val="2"/>
      <w:sz w:val="24"/>
    </w:rPr>
  </w:style>
  <w:style w:type="character" w:customStyle="1" w:styleId="35">
    <w:name w:val="标题 2 字符"/>
    <w:link w:val="3"/>
    <w:uiPriority w:val="0"/>
    <w:rPr>
      <w:rFonts w:ascii="Arial" w:hAnsi="Arial" w:eastAsia="黑体"/>
      <w:b/>
      <w:kern w:val="2"/>
      <w:sz w:val="32"/>
    </w:rPr>
  </w:style>
  <w:style w:type="character" w:customStyle="1" w:styleId="36">
    <w:name w:val="even Char Char"/>
    <w:uiPriority w:val="0"/>
    <w:rPr>
      <w:rFonts w:eastAsia="宋体"/>
      <w:kern w:val="2"/>
      <w:sz w:val="24"/>
      <w:szCs w:val="24"/>
      <w:lang w:val="en-US" w:eastAsia="zh-CN" w:bidi="ar-SA"/>
    </w:rPr>
  </w:style>
  <w:style w:type="character" w:customStyle="1" w:styleId="37">
    <w:name w:val="表图名称 Char Char"/>
    <w:link w:val="27"/>
    <w:uiPriority w:val="0"/>
    <w:rPr>
      <w:rFonts w:ascii="Times New Roman" w:hAnsi="Times New Roman"/>
      <w:kern w:val="2"/>
      <w:sz w:val="24"/>
      <w:szCs w:val="28"/>
    </w:rPr>
  </w:style>
  <w:style w:type="character" w:customStyle="1" w:styleId="38">
    <w:name w:val="页脚 字符"/>
    <w:link w:val="13"/>
    <w:uiPriority w:val="99"/>
    <w:rPr>
      <w:rFonts w:ascii="Times New Roman" w:hAnsi="Times New Roman"/>
      <w:kern w:val="2"/>
      <w:sz w:val="18"/>
      <w:szCs w:val="18"/>
    </w:rPr>
  </w:style>
  <w:style w:type="character" w:customStyle="1" w:styleId="39">
    <w:name w:val="标题 7 字符"/>
    <w:link w:val="8"/>
    <w:uiPriority w:val="0"/>
    <w:rPr>
      <w:rFonts w:ascii="Times New Roman" w:hAnsi="Times New Roman"/>
      <w:b/>
      <w:kern w:val="2"/>
      <w:sz w:val="24"/>
    </w:rPr>
  </w:style>
  <w:style w:type="character" w:customStyle="1" w:styleId="40">
    <w:name w:val="标题 5 字符"/>
    <w:link w:val="6"/>
    <w:uiPriority w:val="0"/>
    <w:rPr>
      <w:rFonts w:ascii="Times New Roman" w:hAnsi="Times New Roman"/>
      <w:b/>
      <w:kern w:val="2"/>
      <w:sz w:val="28"/>
    </w:rPr>
  </w:style>
  <w:style w:type="character" w:customStyle="1" w:styleId="41">
    <w:name w:val="表格 Char"/>
    <w:link w:val="29"/>
    <w:uiPriority w:val="0"/>
    <w:rPr>
      <w:rFonts w:eastAsia="宋体"/>
      <w:kern w:val="2"/>
      <w:sz w:val="21"/>
      <w:szCs w:val="21"/>
      <w:lang w:val="en-US" w:eastAsia="zh-CN" w:bidi="ar-SA"/>
    </w:rPr>
  </w:style>
  <w:style w:type="character" w:customStyle="1" w:styleId="42">
    <w:name w:val="标题 9 字符"/>
    <w:link w:val="10"/>
    <w:uiPriority w:val="0"/>
    <w:rPr>
      <w:rFonts w:ascii="Arial" w:hAnsi="Arial" w:eastAsia="黑体"/>
      <w:kern w:val="2"/>
      <w:sz w:val="24"/>
    </w:rPr>
  </w:style>
  <w:style w:type="character" w:customStyle="1" w:styleId="43">
    <w:name w:val="正文段落格式 Char"/>
    <w:link w:val="28"/>
    <w:qFormat/>
    <w:uiPriority w:val="0"/>
    <w:rPr>
      <w:rFonts w:eastAsia="宋体" w:cs="宋体"/>
      <w:kern w:val="2"/>
      <w:sz w:val="24"/>
      <w:lang w:val="en-US" w:eastAsia="zh-CN" w:bidi="ar-SA"/>
    </w:rPr>
  </w:style>
  <w:style w:type="character" w:customStyle="1" w:styleId="44">
    <w:name w:val="标题 3 字符"/>
    <w:link w:val="4"/>
    <w:uiPriority w:val="0"/>
    <w:rPr>
      <w:rFonts w:ascii="Times New Roman" w:hAnsi="Times New Roman"/>
      <w:b/>
      <w:kern w:val="2"/>
      <w:sz w:val="32"/>
    </w:rPr>
  </w:style>
  <w:style w:type="character" w:customStyle="1" w:styleId="45">
    <w:name w:val="标题 1 字符"/>
    <w:link w:val="2"/>
    <w:uiPriority w:val="0"/>
    <w:rPr>
      <w:rFonts w:ascii="Times New Roman" w:hAnsi="Times New Roman"/>
      <w:b/>
      <w:kern w:val="44"/>
      <w:sz w:val="44"/>
    </w:rPr>
  </w:style>
  <w:style w:type="character" w:styleId="46">
    <w:name w:val=""/>
    <w:unhideWhenUsed/>
    <w:uiPriority w:val="99"/>
    <w:rPr>
      <w:color w:val="605E5C"/>
      <w:shd w:val="clear" w:color="auto" w:fill="E1DFDD"/>
    </w:rPr>
  </w:style>
  <w:style w:type="character" w:customStyle="1" w:styleId="47">
    <w:name w:val="页眉 字符"/>
    <w:link w:val="14"/>
    <w:uiPriority w:val="99"/>
    <w:rPr>
      <w:rFonts w:ascii="Times New Roman" w:hAnsi="Times New Roman"/>
      <w:kern w:val="2"/>
      <w:sz w:val="18"/>
      <w:szCs w:val="18"/>
    </w:rPr>
  </w:style>
  <w:style w:type="character" w:customStyle="1" w:styleId="48">
    <w:name w:val="标题 4 字符"/>
    <w:link w:val="5"/>
    <w:uiPriority w:val="0"/>
    <w:rPr>
      <w:rFonts w:ascii="Arial" w:hAnsi="Arial" w:eastAsia="黑体"/>
      <w:b/>
      <w:kern w:val="2"/>
      <w:sz w:val="28"/>
    </w:rPr>
  </w:style>
  <w:style w:type="character" w:customStyle="1" w:styleId="49">
    <w:name w:val="标题 8 字符"/>
    <w:link w:val="9"/>
    <w:uiPriority w:val="0"/>
    <w:rPr>
      <w:rFonts w:ascii="Arial" w:hAnsi="Arial" w:eastAsia="黑体"/>
      <w:kern w:val="2"/>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7</Pages>
  <Words>3299</Words>
  <Characters>3373</Characters>
  <Lines>41</Lines>
  <Paragraphs>11</Paragraphs>
  <TotalTime>9</TotalTime>
  <ScaleCrop>false</ScaleCrop>
  <LinksUpToDate>false</LinksUpToDate>
  <CharactersWithSpaces>3375</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2018-03-01T00:54:00Z</dcterms:created>
  <dc:creator>lixiao</dc:creator>
  <cp:lastModifiedBy>YU</cp:lastModifiedBy>
  <cp:lastPrinted>2021-06-24T05:14:00Z</cp:lastPrinted>
  <dcterms:modified xsi:type="dcterms:W3CDTF">2023-03-31T01:23:45Z</dcterms:modified>
  <dc:title>宁波市城市快速轨道交通建设规划（2013～2020）</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6C75DC99CFDF4D57970CB777E9A21A94</vt:lpwstr>
  </property>
</Properties>
</file>